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E-5985/2015 vom 29. September 2015</w:t>
      </w:r>
    </w:p>
    <w:p>
      <w:r>
        <w:t>Bundesverwaltungsgericht, 2015-09-29, DE</w:t>
      </w:r>
    </w:p>
    <w:p>
      <w:r>
        <w:rPr>
          <w:b/>
        </w:rPr>
        <w:t xml:space="preserve">Quelle: </w:t>
      </w:r>
      <w:r>
        <w:t>https://mcp.opencaselaw.ch/entscheid/bvger_E-5985_2015</w:t>
      </w:r>
    </w:p>
    <w:p>
      <w:r>
        <w:t>FR: TAF E-5985/2015 du 29 septembre 2015</w:t>
      </w:r>
    </w:p>
    <w:p>
      <w:r>
        <w:t>IT: TAF E-5985/2015 del 29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17. September 2015 an Italien übergegangen. Der Beschwerdeführer habe nach seiner Rückkehr nach Italien die Möglichkeit, ein Asylgesuch einzureichen und damit Zugang zu asylrechtlichen Aufnahmestrukturen (Aufnahmerichtlinie) zu erhalten. Zusätzlich könne er bei einer der in Italien zahlreich vorhandenen karitativen Organisationen um Hilfe ersuchen. In Würdigung der Aktenlage und der geltend gemachten Umstände würden keine Gründe vorliegen, die einen Selbsteintritt der Schweiz rechtfertigen würden. Die Überstellung nach Italien habe bis spätestens am 17. März 2016 zu erfolgen.</w:t>
      </w:r>
    </w:p>
    <w:p>
      <w:r>
        <w:rPr>
          <w:b/>
        </w:rPr>
        <w:t>E. 5.2</w:t>
      </w:r>
    </w:p>
    <w:p>
      <w:r>
        <w:t>In der Rechtsmitteleingabe wendet der Beschwerdeführer ein, er sei ausschliesslich in der Schweiz registriert worden. Das Dublin-System sei so schlecht geworden und Italien so völlig überlastet, dass die Asylsuchenden dort nicht versorgt werden könnten. Aus demselben Grund habe Italien das Übernahmeersuchen der Schweiz nicht beantwortet. Auch seien die soziale Sicherheit und die Aussicht auf Arbeit in Italien schlecht und es bestehe keine Garantie, dass er oder seine Landsleute dort ein Verfahren erhalten und angemessen versorgt würden. Er habe ausserdem medizinische Probleme und müsse in nächster Zeit Medikamente einnehmen. Er fühle sich dadurch zusätzlich eingeschränkt, könne nicht gut sitzen und sich fortbewegen. Er befürchte, dass sich seine Wunde entzünde oder nicht gut abheilen werde.</w:t>
      </w:r>
    </w:p>
    <w:p>
      <w:r>
        <w:rPr>
          <w:b/>
        </w:rPr>
        <w:t>E. 6.1</w:t>
      </w:r>
    </w:p>
    <w:p>
      <w:r>
        <w:t>Gemäss eigenen Angaben hat der Beschwerdeführer auf dem Seeweg von Libyen kommend zuerst den Dublin-Mitgliedstaat Italien erreicht, dies ohne gültigen Einreisetitel und somit illegal. Von Italien aus reiste er in die Schweiz ein. Bei dieser Sachlage ist gemäss Art. 13 Abs. 1 Dublin-III-VO Italien für die Prüfung seines Asylantrages zuständig; diese Bestimmung setzt keine daktyloskopische Erfassung oder namentliche Registrierung voraus. In entscheidrelevanter Hinsicht bleibt festzuhalten, dass Italien das Ersuchen des SEM um Aufnahme des Beschwerdeführers innert der gesetzlichen Frist von zwei Monaten nicht beantwortet und damit seine Zuständigkeit aufgrund der sogenannten Verfristung akzeptiert hat (Art. 22 Abs. 1 und 7 Dublin-III-VO).</w:t>
      </w:r>
    </w:p>
    <w:p>
      <w:r>
        <w:rPr>
          <w:b/>
        </w:rPr>
        <w:t>E. 6.2</w:t>
      </w:r>
    </w:p>
    <w:p>
      <w:r>
        <w:t>Italien ist Signatarstaat der FK, der EMRK und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Es obliegt dem Beschwerdeführer, diese Vermutung umzustossen. Dabei hat er ernsthafte Anhaltspunkte vorzubringen, dass die italienischen Behörden in seinem Fall das Völkerrecht verletzen und ihm nicht den notwendigen Schutz gewähren oder ihn menschenunwürdigen Lebensumständen aussetzen würden, mithin in seinem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der Beschwerdeführer in der Rechtsmitteleingabe nicht geltend und ist aufgrund der Akten auch nicht ersichtlich.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Dublin-III-Verordnung, Wien/ Graz 2014, Art. 17 K5 S. 159). Aus blossen Problemen im Bereich der Aufnahmebedingungen für Asylsuchende lässt sich noch nicht auf eine systematische Verletzung der Aufnahmerichtlinie schliessen. Es ist auch davon auszugehen, dass Italien über eine ausreichende medizinische Infrastruktur zur Behandlung von psychischen und physischen Beschwerden von asylsuchenden Personen verfügt (vgl. Urteil BVGer D-1328/2015 vom 3. Juni 2015 E.6.4 m.w.H.). Überdies sind die Mitgliedstaaten verpflichtet, den Antragstellern die erforderliche medizinische Versorgung, die zumindest die Notversorgung und die unbedingt erforderliche Behandlung von Krankheiten und psychischen Störungen umfasst, zugänglich zu machen (Art. 19 Abs. 1 Aufnahmerichtlinie) und den Antragstellern mit besonderen Bedürfnissen ist die erforderliche medizinische oder sonstige Hilfe (einschliesslich nötigenfalls einer geeigneten psychologischen Betreuung) zu gewähren (Art. 19 Abs. 2 Aufnahmerichtlinie). Gemäss Kurzaustrittsbericht des B._______ vom 24. September 2015 war der Beschwerdeführer vom 22. bis 24. September 2015 dort wegen (...) hospitalisiert. Nach einer (...) stellte sich der postoperative Verlauf problemlos dar. Der Beschwerdeführer konnte am 24. September 2015 in gutem Allgemeinzustand mit der Empfehlung zum (...) und der Einnahme von Schmerzmedikamenten bei Bedarf und dem Hinweis, dass je nach beakteriologischem Befund gegebenenfalls noch eine weitere Behandlung notwendig sei, in die ambulante fachärztliche Weiterbehandlung entlassen werden. Es liegen keine Hinweise vor, wonach Italien dem Beschwerdeführer eine allenfalls notwendige adäquate medizinische Weiterbehandlung verweigern würde. Die schweizerischen Behörden, die mit dem Vollzug der angefochten Verfügung beauftragt sind, werden allfälligen medizinischen Umständen bei der Bestimmung der konkreten Modalitäten seiner Überstellung Rechnung tragen und die italienischen Behörden gegebenenfalls vorgängig in geeigneter Weise über die spezifischen medizinischen Umstände informieren (vgl. Art. 31 f. Dublin-III-VO).</w:t>
      </w:r>
    </w:p>
    <w:p>
      <w:r>
        <w:rPr>
          <w:b/>
        </w:rPr>
        <w:t>E. 6.3</w:t>
      </w:r>
    </w:p>
    <w:p>
      <w:r>
        <w:t>Zusammenfassend vermag der Beschwerdeführer aus der Bestimmung von Art. 3 Abs. 2 Dublin-III-VO nichts für sich abzuleiten. Ein Grund für einen Selbsteintritt der Schweiz ist nicht ersichtlich. Aufgrund der positiven und - bis auf den ausstehenden bakteriologischen Befund - abschliessenden Diagnose besteht auch keine Veranlassung, die Sache an das SEM zurückzuweisen, zumal Italien bei entsprechendem bakteriologischen Befund über die notwendigen Medikamente verfügen würde. Etwas anderes wird vom Beschwerdeführer auch nicht dargetan.</w:t>
      </w:r>
    </w:p>
    <w:p>
      <w:r>
        <w:rPr>
          <w:b/>
        </w:rPr>
        <w:t>E. 7.1</w:t>
      </w:r>
    </w:p>
    <w:p>
      <w:r>
        <w:t>Der Nichteintretensentscheid des SEM ist in Anwendung von Art. 31a Abs. 1 Bst. b AsylG zu bestätigen. Da der Beschwerdeführer nicht im Besitz einer gültigen Aufenthalts- oder Niederlassungsbewilligung ist, hat die Vor-instanz in Anwendung von Art. 44 AsylG ebenfalls zu Recht die Überstellung nach Italien angeordnet (Art. 32 Bst. a AsylV 1).</w:t>
      </w:r>
    </w:p>
    <w:p>
      <w:r>
        <w:rPr>
          <w:b/>
        </w:rPr>
        <w:t>E. 7.2</w:t>
      </w:r>
    </w:p>
    <w:p>
      <w:r>
        <w:t>Unter diesen Umständen sind allfällige Vollzugshindernisse gemäss Art. 83 Abs. 3 und 4 AuG (SR142.20)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zu bestätigen und die eingereichte Beschwerde als offensichtlich unbegründet abzuweisen ist. Damit sind die Anträge auf Wiederherstellung der aufschiebenden Wirkung und Verzicht eines Kostenvorschusses gegenstandslos geworden.</w:t>
      </w:r>
    </w:p>
    <w:p>
      <w:r>
        <w:rPr>
          <w:b/>
        </w:rPr>
        <w:t>E. 9.1</w:t>
      </w:r>
    </w:p>
    <w:p>
      <w:r>
        <w:t>Das mit der Beschwerde gestellte Gesuch um Gewährung der unentgeltlichen Prozessführung ist abzuweisen, da die Begehren - wie sich aus den vorstehenden Erwägungen ergibt - als aussichtlos zu bezeichnen waren, weshalb die Voraussetzungen von Art. 65 Abs. 1 VwVG ungeachtet der nicht belegten Fürsorgeabhängigkeit nicht erfüllt sind.</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