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E-5984/2022 vom 3. Januar 2023</w:t>
      </w:r>
    </w:p>
    <w:p>
      <w:r>
        <w:t>Bundesverwaltungsgericht, 2023-01-03, DE</w:t>
      </w:r>
    </w:p>
    <w:p>
      <w:r>
        <w:rPr>
          <w:b/>
        </w:rPr>
        <w:t xml:space="preserve">Quelle: </w:t>
      </w:r>
      <w:r>
        <w:t>https://mcp.opencaselaw.ch/entscheid/bvger_E-5984_2022</w:t>
      </w:r>
    </w:p>
    <w:p>
      <w:r>
        <w:t>FR: TAF E-5984/2022 du 3 janvier 2023</w:t>
      </w:r>
    </w:p>
    <w:p>
      <w:r>
        <w:t>IT: TAF E-5984/2022 del 3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Der Beschwerdeführer rügt die unvollständige Feststellung des rechtserheblichen Sachverhalts und die Verletzung des Anspruchs auf rechtliches Gehör. Diese formellen Rügen sind vorab zu prüfen.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Teilgehalt des rechtlichen Gehörs ist der verfahrensrechtliche Anspruch auf Akteneinsicht (Art. 26 VwVG), welcher es den Betroffenen in einem Verfahren ermöglichen soll, die Unterlagen einzusehen, auf welche die Behörde ihren Entscheid stützt. Grundsätzlich hat eine Partei ein Gesuch um Akteneinsicht zu stellen, damit überhaupt die Einsichtnahme gewährt oder verweigert werden kann (BGE 132 V 387 E. 6.2). 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4.3</w:t>
      </w:r>
    </w:p>
    <w:p>
      <w:r>
        <w:t>Der Beschwerdeführer rügt, sein Recht auf Akteneinsicht sei verletzt worden, da die Vorinstanz ihm keine Einsicht in die - in der angefochtenen Verfügung erwähnten - Abklärungen der Schweizer Botschaft in Kroatien gewährt habe. Diese Rüge erweist sich als unbegründet. Nach der Rechtsprechung des Bundesverwaltungsgerichts genügt es, wenn die Vorinstanz hinsichtlich bereits früher getätigter Abklärungen der Schweizer Vertretung in ihrer Verfügung auf entsprechende Erkenntnisse verweist beziehungsweise diese in zusammengefasster Form wiedergibt (vgl. die angefochtene Verfügung S. 4 und 6). Da im vorliegenden Verfahren keine Botschaftsabklärung durchgeführt wurde, sind in den vorinstanzlichen Akten auch keine entsprechenden Aktenstücke vorhanden, in welche Einsicht hätte gewährt werden müssen. Damit liegt keine Verletzung des Akteneinsichtsrechts vor (vgl. Urteile des BVGer F-4542/2022 vom 11. November 2022 E. 4.1; E-4665/2022 vom 19. Oktober 2022 E. 4, D-4160/2022 vom 28. September 2022 E. 4.3; D-735/2022 vom 28. Februar 2022 E. 5.3.1).</w:t>
      </w:r>
    </w:p>
    <w:p>
      <w:r>
        <w:rPr>
          <w:b/>
        </w:rPr>
        <w:t>E. 4.4</w:t>
      </w:r>
    </w:p>
    <w:p>
      <w:r>
        <w:t>Der Beschwerdeführer rügt weiter eine unvollständige Sachverhaltsfeststellung, indem die Vorinstanz seine schlechte Behandlung in Kroatien rechtlich nicht gewürdigt habe. Aufgrund seiner Begründung ergibt sich jedoch, dass er damit nicht Verletzung formellen Rechts rügt, sondern vielmehr mit der materiellen Würdigung nicht einverstanden ist. Im Übrigen setzt sich die Vorinstanz mit der Kritik an den kroatischen Behörden, insbesondere mit den sogenannten Push-backs, ausführlich auseinander und stellt dabei fest, dass diese Problematik nach ihren aktuellen Erkenntnissen nicht mit den Rückführungen nach Kroatien gestützt auf die Dublin-III-VO in Verbindung gebracht werden könne. Zudem verweist sie darauf, dass in Kroatien der Zugang zu wirksamen Rechtsmitteln gewährleistet sei. Der rechtserhebliche Sachverhalt wurde diesbezüglich vollständig festgestellt. Hinsichtlich des Vorbringens, der medizinische Sachverhalt sei nicht genügend erstellt, da das SEM einen Arztbericht hätte einholen sollen, ist festzustellen, dass das SEM den medizinischen Sachverhalt als ausreichten erstellt betrachtet (vgl. angefochtene Verfügung Seite 6 f.) und dass der Beschwerdeführer bezüglich der am Dublin-Gespräch vorgebrachten Traumatisierung keinen Arzttermin vereinbarte und wahrnahm. Das SEM durfte daher zurecht in antizipierter Beweiswürdigung von einem ausreichend erstellten medizinischen Sachverhalt ausgehen.</w:t>
      </w:r>
    </w:p>
    <w:p>
      <w:r>
        <w:rPr>
          <w:b/>
        </w:rPr>
        <w:t>E. 4.5</w:t>
      </w:r>
    </w:p>
    <w:p>
      <w:r>
        <w:t>Dem Gesagten zufolge erweisen sich die formellen Rügen als unbegründet. Das Eventualbegehren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Dublin-III-VO mehr statt. Die Zuständigkeit beziehungsweise die Verpflichtung des Mitgliedstaates zur Wiederaufnahme ergibt sich direkt aus Art. 18 Abs. 1 Bst. b-d beziehungsweise Art. 20 Abs. 5 Dublin-III-VO (vgl. Urteil des Gerichtshofs der Europäischen Union [EuGH; Grosse Kammer] vom 2. April 2019, H. und R., C 582/17 und C-583/17, EU:C:2019:280, Rn. 47-50; BVGE 2019 VI/7 E. 4-6,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w:t>
      </w:r>
    </w:p>
    <w:p>
      <w:r>
        <w:t>Ein Abgleich der Fingerabdrücke des Beschwerdeführers mit der Fingerabdruck-Datenbank ergab, dass dieser am (...) Oktober 2022 in Kroatien ein Asylgesuch gestellt hatte. Das SEM ersuchte deshalb die kroatischen Behörden um Wiederaufnahme des Beschwerdeführers. Nachdem diese dem Gesuch um Rückübernahme innert der in Art. 25 Abs. 1 Dublin-III-VO festgelegten Frist zugestimmt haben, ist die Zuständigkeit Kroatiens zur Durchführung des Asylverfahrens grundsätzlich gegeben. Daran ändert auch der Umstand nichts, dass die Zustimmung gestützt auf die Bestimmung von Art. 20 Abs. 5 Dublin-III-VO erfolgte (vgl. hierzu etwa die Urteile BVGer E-4341/2022 vom 8. Dezember 2022 E. 4.3, D-5623/2022 vom 12. Dezember 2022 E. 5 oder F-5543/2022 vom 7. Dezember 2022 E. 3.4).</w:t>
      </w:r>
    </w:p>
    <w:p>
      <w:r>
        <w:rPr>
          <w:b/>
        </w:rPr>
        <w:t>E. 7.1</w:t>
      </w:r>
    </w:p>
    <w:p>
      <w:r>
        <w:t>Eine Anwendung von Art. 3 Abs. 2 Dublin-III-VO ist vorliegend nicht gerechtfertigt, da es keine wesentlichen Gründe für die Annahme gibt, das Asylverfahren und die Aufnahmebedingungen für Asylsuchende in Kroatien würden systemische Schwachstellen aufweisen, die eine Gefahr einer unmenschlichen oder entwürdigenden Behandlung im Sinn von Art. 4 der EU-Grundrechtecharta mit sich bringen würden. Dies aus den folgenden Gründen: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Vorinstanz hat zutreffend dargelegt, dass aktuell, auch unter Würdigung von kritischen Berichten nationaler und internationaler Organisationen bezüglich des kroatischen Asylverfahrens, keine Gründe für die Annahme vorliegen, das Asylverfahren und die Aufnahmebedingungen für Antragstellende in Kroatien würden systemische Schwachstellen im Sinn von Art. 3 Abs. 2 Sätze 2 und 3 Dublin-III-VO aufweisen (vgl. dazu die oben zitierten Urteile BVGer E-4341/2022 E. 6.3, D-5623/2022 E. 6.1 und F-5543/2022 E. 4).</w:t>
      </w:r>
    </w:p>
    <w:p>
      <w:r>
        <w:rPr>
          <w:b/>
        </w:rPr>
        <w:t>E. 7.3</w:t>
      </w:r>
    </w:p>
    <w:p>
      <w:r>
        <w:t>Auch unter Berücksichtigung der vom Beschwerdeführer anlässlich des Dublin-Gesprächs vom 22. November 2022 und in der Beschwerdeschrift geschilderten Erlebnisse ist nicht davon auszugehen, Kroatien verstosse systematisch gegen seine vertraglichen Verpflichtungen. Die vom Beschwerdeführer für die Zeit seines Aufenthaltes in Kroatien geltend gemachte schlechte Behandlung rechtfertigt es nicht, davon auszugehen, dass er bei einer Rückkehr mit hoher Wahrscheinlichkeit Opfer einer unmenschlichen oder erniedrigenden Behandlung im Sinn von Art. 3 EMRK, Art. 3 FoK oder Art. 4 EU-Grundrechtecharta wird. Bei allfälligem Fehlverhalten einzelner Beamter könnte er sich zudem an die zuständigen kroatischen Stellen wenden. Es ist auch nicht davon auszugehen, dass er bei einer Wegweisung nach Kroatien in eine existenzielle Notlage geraten könnte.</w:t>
      </w:r>
    </w:p>
    <w:p>
      <w:r>
        <w:rPr>
          <w:b/>
        </w:rPr>
        <w:t>E. 7.4</w:t>
      </w:r>
    </w:p>
    <w:p>
      <w:r>
        <w:t>In der Beschwerde werden des Weiteren die sogenannten Push-backs thematisiert. Wegen dieser Ereignisse sieht sich Kroatien schon seit geraumer Zeit mit Vorwürfen konfrontiert. Wie in der angefochtenen Verfügung ausführlich und zutreffend festgestellt wird (vgl. dort S. 3 f.), stehen solche Ereignisse indessen offensichtlich in Zusammenhang mit illegalen Einreisen nach Kroatien unter anderem von Bosnien und Herzegowina aus. Sie betreffen demnach die Aussengrenzen Kroatiens zu seinen Nachbarstaaten und die Frage des Zugangs zum Asylverfahren respektive die Möglichkeit, in Kroatien durch die Asylgesuchstellung ein Asylverfahren einzuleiten. Damit ist aber nichts zur vorliegend interessierenden Situation der Rückkehr nach Kroatien nach einer Asylantragstellung gesagt. Bei einer Rücküberstellung nach Kroatien würde der Beschwerdeführer auf legalem Weg in die Hauptstadt Zagreb überstellt. Die Vorinstanz hat eine Einzelfallprüfung vorgenommen und ist unter Verweis auf Abklärungen durch die Schweizer Botschaft in Kroatien zu Recht zum Schluss gekommen, dass Personen, welche im Rahmen eines Dublin-Verfahrens nach Kroatien - als für die Asylgesuchprüfung zuständigen Mitgliedstaat - zurückgeführt werden, nicht von der problematischen Push-back-Praxis betroffen sind (vgl. Urteil des BVGer E-5787/2022 vom 19. Dezember 2022 E. 7.4 m.w.H.).</w:t>
      </w:r>
    </w:p>
    <w:p>
      <w:r>
        <w:rPr>
          <w:b/>
        </w:rPr>
        <w:t>E. 8.1</w:t>
      </w:r>
    </w:p>
    <w:p>
      <w:r>
        <w:t>Vorliegend gebietet sich auch kein Selbsteintritt nach Art. 17 Abs. 1 erster Satz Dublin-III-VO beziehungsweise Art. 29a Abs. 3 AsylV 1.</w:t>
      </w:r>
    </w:p>
    <w:p>
      <w:r>
        <w:rPr>
          <w:b/>
        </w:rPr>
        <w:t>E. 8.2</w:t>
      </w:r>
    </w:p>
    <w:p>
      <w:r>
        <w:t>Der Beschwerdeführer vermag nicht darzutun, dass die ihm bei einer Rückführung nach Kroatien zu erwartenden Bedingungen derart schlecht sind, dass sie zu einer Verletzung von Art. 3 EMRK führen könnten. Bei einer allfälligen vorübergehenden Einschränkung der ihm zustehenden Aufnahmebedingungen könnte er sich nötigenfalls an die kroatischen Behörden wenden und seine Rechte auf dem Rechtsweg einfordern (vgl. Art. 26 Aufnahmerichtlinie). Dies gilt auch in Bezug auf die geltend gemachte Gewalt seitens der kroatischen Behörden.</w:t>
      </w:r>
    </w:p>
    <w:p>
      <w:r>
        <w:rPr>
          <w:b/>
        </w:rPr>
        <w:t>E. 8.3</w:t>
      </w:r>
    </w:p>
    <w:p>
      <w:r>
        <w:t>Der Beschwerdeführer macht anlässlich seines Dublin-Gesprächs geltend, er sei traumatisiert und nachts würden ihm die Dinge hochkommen, die er an der Grenze zu Kroatien erlebt habe, das heisse, wie man auf ihn geschossen und ihn geschlagen habe. Diese - lediglich behaupteten - gesundheitlichen Beeinträchtigungen sind offensichtlich nicht von derartiger Schwere, dass sie die Feststellung der Unzulässigkeit im Sinne der restriktiven Rechtsprechung zu rechtfertigen vermöchten. Sollte er nach der Rückkehr nach Kroatien eine medizinische Behandlung benötigen,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Es liegen keine Hinweise vor, wonach Kroatien dem Beschwerdeführer eine allenfalls erforderliche adäquate medizinische Behandlung verweigern würde. Es liegen mithin keine Gründe für einen zwingenden Selbsteintritt der Schweiz vor.</w:t>
      </w:r>
    </w:p>
    <w:p>
      <w:r>
        <w:rPr>
          <w:b/>
        </w:rPr>
        <w:t>E. 8.4</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zumal den vorliegenden Akten auch keine Hinweise auf eine familiäre Konstellation des Beschwerdeführers zu den in der Schweiz wohnhaften Verwandten zu entnehmen ist, die von der Vorinstanz zu berücksichtigen gewesen wäre (vgl. BVGE 2018 VI/7 E. 8). Das Gericht enthält sich deshalb in diesem Zusammenhang weiterer Äusserungen.</w:t>
      </w:r>
    </w:p>
    <w:p>
      <w:r>
        <w:rPr>
          <w:b/>
        </w:rPr>
        <w:t>E. 8.5</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10</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11</w:t>
      </w:r>
    </w:p>
    <w:p>
      <w:r>
        <w:t>Mit dem Entscheid in der Hauptsache werden die Gesuche um Erteilung der aufschiebenden Wirkung und um Verzicht auf die Erhebung eines Kostenvorschusses gegenstandslos. Der angeordnete Vollzugsstopp fällt mit vorliegendem Urteil dahin.</w:t>
      </w:r>
    </w:p>
    <w:p>
      <w:r>
        <w:rPr>
          <w:b/>
        </w:rPr>
        <w:t>E. 12.1</w:t>
      </w:r>
    </w:p>
    <w:p>
      <w:r>
        <w:t>Das mit der Beschwerde gestellte Gesuch um Gewährung der unentgeltlichen Prozessführung ist ungeachtet der Frage der prozessualen Bedürftigkeit abzuweisen, da die Begehren - wie sich aus den vorstehenden Erwägungen ergibt - als aussichtslos zu bezeichnen waren, weshalb die Voraussetzungen von Art. 65 Abs. 1 VwVG nicht erfüllt sind.</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