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E-5983/2015 vom 15. November 2017</w:t>
      </w:r>
    </w:p>
    <w:p>
      <w:r>
        <w:t>Bundesverwaltungsgericht, 2017-11-15, DE</w:t>
      </w:r>
    </w:p>
    <w:p>
      <w:r>
        <w:rPr>
          <w:b/>
        </w:rPr>
        <w:t xml:space="preserve">Quelle: </w:t>
      </w:r>
      <w:r>
        <w:t>https://mcp.opencaselaw.ch/entscheid/bvger_E-5983_2015</w:t>
      </w:r>
    </w:p>
    <w:p>
      <w:r>
        <w:t>FR: TAF E-5983/2015 du 15 novembre 2017</w:t>
      </w:r>
    </w:p>
    <w:p>
      <w:r>
        <w:t>IT: TAF E-5983/2015 del 15 novembre 2017</w:t>
      </w:r>
    </w:p>
    <w:p>
      <w:pPr>
        <w:pStyle w:val="Heading2"/>
      </w:pPr>
      <w:r>
        <w:t>Regeste</w:t>
      </w:r>
    </w:p>
    <w:p>
      <w:r>
        <w:t>Asylwiderruf</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w:t>
      </w:r>
    </w:p>
    <w:p>
      <w:r>
        <w:t>Dieses Urteil ergeht in Anwendung von Art. 21 Abs. 2 und Art. 25 Abs. 2 VGG in Verbindung mit Art. 32 Abs. 2 und 3 des Geschäftsreglements vom 17. April 2008 für das Bundesverwaltungsgericht (VGR, SR 173.320.1) in Besetzung mit fünf Richterinnen beziehungsweise Richtern.</w:t>
      </w:r>
    </w:p>
    <w:p>
      <w:r>
        <w:rPr>
          <w:b/>
        </w:rPr>
        <w:t>E. 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4.1</w:t>
      </w:r>
    </w:p>
    <w:p>
      <w:r>
        <w:t>Gemäss Art. 63 Abs. 1 Bst. b AsylG wird die Flüchtlingseigenschaft aberkannt und das Asyl widerrufen, wenn Gründe nach Art. 1 C Ziff. 1 - 6 des Abkommens vom 28. Juli 1951 über die Rechtsstellung der Flüchtlinge (FK, SR 0.142.30) vorliegen. Art. 1 C FK beinhaltet die Beendigungsklauseln betreffend den Flüchtlingsstatus. Namentlich fällt eine Person nicht mehr unter die Bestimmungen der FK und endet ihr Flüchtlingsstatus, wenn sie sich freiwillig wieder unter den Schutz des Landes, dessen Staatsangehörigkeit sie besitzt, gestellt hat (Art. 1 C Ziff. 1 FK).</w:t>
      </w:r>
    </w:p>
    <w:p>
      <w:r>
        <w:rPr>
          <w:b/>
        </w:rPr>
        <w:t>E. 4.2</w:t>
      </w:r>
    </w:p>
    <w:p>
      <w:r>
        <w:t>Der Widerrufsgrund von Art. 63 Abs. 1 Bst. b AsylG war bereits im Asylgesetz vom 5. Oktober 1979 in der heutigen Form enthalten (vgl. dort Art. 41 Abs. 1 Bst. b). In der Botschaft zum Entwurf für das Asylgesetz vom 5. Oktober 1979 führte der Bundesrat zu dieser Vorschrift aus, dass "Reisen [...] in das Land, aus dem man fliehen musste, mit den Gründen, welche die Flucht veranlasst haben, unvereinbar sind" (BBl 1977 III, S. 145). Es handle sich hier um einen klaren, unmissverständlichen Grundsatz, der mit der FK kompatibel sei. Der bundesrätliche Entwurf wurde in der Folge ohne grössere Beratungen im Parlament angenommen (vgl. zur Beratung im Ständerat Amtliches Bulletin der Bundesversammlung [AB] 1978 II 81; zur Beratung im Nationalrat AB 1978 VII 1876). In der Praxis wurde die Bestimmung als Automatismus verstanden, indem bei Heimatreisen ohne Rücksicht auf die Beweggründe und Umstände im Einzelfall eine Unterschutzstellung angenommen wurde, welche zum Widerruf des Asyls führte. Das Bundesgericht schützte diese Praxis: Selbst wenn ein Flüchtling nur für kurze Zeit in sein Heimatland zurückkehre, könne er nicht mehr geltend machen, auf den Flüchtlingsstatus und das Asyl angewiesen zu sein; eine Ausnahme hiervon könne nur gemacht werden, wenn der Widerruf des Asyls die betroffene Person unverhältnismässig stark treffen würde (BGE 110 Ib 208 E. 6 S. 211 f.).</w:t>
      </w:r>
    </w:p>
    <w:p>
      <w:r>
        <w:rPr>
          <w:b/>
        </w:rPr>
        <w:t>E. 4.3</w:t>
      </w:r>
    </w:p>
    <w:p>
      <w:r>
        <w:t>In einem 1996 ergangenen Entscheid lockerte die ehemalige Asylrekurskommission (ARK) die bis dato bestehende Praxis (EMARK 1996 Nr. 12). Wenn jemand sich zurück in den Verfolgerstaat begebe, stelle dies zwar ein starkes Indiz dar, dass die frühere Verfolgungssituation oder die Furcht vor Verfolgung nicht mehr bestehe. Es seien aber Fälle denkbar, in denen aus bestimmten Gründen das Risiko, wieder einer Verfolgungssituation ausgesetzt zu sein, auf sich genommen beziehungsweise bewusst zu vermeiden versucht werde. Es könne daher nicht daran festgehalten werden, dass eine Heimatreise praktisch ausnahmslos zum Widerruf des Asyls und zur Aberkennung der Flüchtlingseigenschaft führen müsse. Für den Widerruf des Asyls müsse der Flüchtling erstens freiwillig in Kontakt mit seinem Heimatland getreten sein, er müsse zweitens beabsichtigt haben, von seinem Heimatland Schutz in Anspruch zu nehmen, und drittens müsse ihm dieser Schutz auch tatsächlich gewährt worden sein (siehe EMARK 1996 Nr. 12 E. 4b und 7). Der Wortlaut des Urteils - insbesondere die Anknüpfung an eine potentielle zukünftige Verfolgungssituation - lässt erkennen, dass die Voraussetzungen für den Widerruf des Asyls nach einer teleologischen Auslegung zumindest auch am Schutzbedürfnis der betreffenden Person zu messen sind. Die Heimatreise einer Person, welche in ihrem Heimatland selbst einer asylrechtlich relevanten Verfolgung ausgesetzt war, führt demnach gerade deshalb nicht automatisch zum Asylwiderruf, weil aus der Heimatreise nicht zwingend der Wegfall des Schutzbedürfnisses abgeleitet werden kann.</w:t>
      </w:r>
    </w:p>
    <w:p>
      <w:r>
        <w:rPr>
          <w:b/>
        </w:rPr>
        <w:t>E. 4.4</w:t>
      </w:r>
    </w:p>
    <w:p>
      <w:r>
        <w:t>Es stellt sich aufgrund der Anknüpfung an das Schutzbedürfnis die Frage, ob Personen wie der Beschwerdeführer, denen die Flüchtlingseigenschaft und der Asylstatus gestützt auf Art. 51 Abs. 1 AsylG derivativ zugesprochen worden sind, im Hinblick auf die Anwendung von Art. 1 C Ziff. 1 FK anders zu behandeln sind als Flüchtlinge, denen aufgrund selbst erlittener Verfolgung Asyl gewährt worden ist. Das Institut des Familienasyls (Art. 51 Abs. 1 AsylG) verfolgt zwei Ziele: Einerseits trägt es dem Recht auf Familienleben Rechnung (Art. 8 EMRK), indem eine Familienzusammenführung ermöglicht wird. Anderseits - und in erster Linie - dient es aber dem Schutz von Familienmitgliedern eines Flüchtlings, weil sie im Sinne einer Reflexverfolgung selber ernsthaften Nachteilen ausgesetzt sein könnten (vgl. Caroni/Grasdorf-Meyer/Ott/Scheiber, Migrationsrecht, 3. Aufl. 2014, S. 286 sowie Nguyen, Ziff. 5-11 zu Art. 51 AsylG, in: Amarelle/Nguyen [Hrsg.], Code annoté de droit des migrations, Vol. IV: Loi sur l`asile, Bern 2015). Aufgrund dieser Rechtsfiktion des Schutzbedürfnisses vor Reflexverfolgung von Familienangehörigen von Flüchtlingen unterscheidet die schweizerische Asylpraxis lediglich im Hinblick auf die Entstehung des Flüchtlingsstatus zwischen originärer und derivativer Flüchtlingseigenschaft, nicht jedoch in Bezug auf die Rechtsstellung (vgl. EMARK 2003/11 E. 8c). Im Hinblick auf die Anwendung von Art. 1 C Ziff. 1 FK ist daher im Grundsatz kein Unterschied zwischen Personen mit originär erlangter Flüchtlingseigenschaft und solchen mit derivativ erlangter Flüchtlingseigenschaft zu machen. Auch die derivativ erlangte Flüchtlingseigenschaft kann nur unter den Voraussetzungen von Art. 1 C FK aberkannt werden (vgl. auch Urteil des BVGer E-7826/2006 vom 8. September 2010 E. 5.1). Gleiches gilt mit Blick auf den Widerruf des Asyls (Art. 63 Abs. 1 Bst. b AsylG). Es müssen mithin für die Anwendung von Art. 1 C Ziff. 1 FK alle drei von der Rechtsprechung vorausgesetzten Kriterien erfüllt sein: Der Beschwerdeführer muss erstens freiwillig in Kontakt mit seinem Heimatland getreten sein, er muss zweitens beabsichtigt oder zumindest in Kauf genommen haben, von seinem Heimatland Schutz in Anspruch zu nehmen, und drittens muss ihm dieser Schutz auch tatsächlich gewährt worden sein (vgl. BVGE 2010/17 E. 5.1.1 m.w.H.). Lediglich im Rahmen der Prüfung der letztgenannten Frage der effektiven Schutzgewährung kann dem Umstand Rechnung getragen werden, dass eine Person den Flüchtlingsstatus und das Asyl nicht originär, sondern lediglich derivativ erworben und insofern keine persönliche Verfolgung durch ihren Heimatstaat erlitten hat.</w:t>
      </w:r>
    </w:p>
    <w:p>
      <w:r>
        <w:rPr>
          <w:b/>
        </w:rPr>
        <w:t>E. 5</w:t>
      </w:r>
    </w:p>
    <w:p>
      <w:r>
        <w:t>Im Folgenden ist zu prüfen, wie der vorliegende Fall nach den eben dargelegten Kriterien zu beurteilen ist, wobei zunächst die bereits dargelegten Vorbringen des Beschwerdeführers (vgl. oben, Bst. E, H, K) im Hinblick auf den rechtserheblichen Sachverhalt zu würdigen sind.</w:t>
      </w:r>
    </w:p>
    <w:p>
      <w:r>
        <w:rPr>
          <w:b/>
        </w:rPr>
        <w:t>E. 5.1</w:t>
      </w:r>
    </w:p>
    <w:p>
      <w:r>
        <w:t>In Frage zu stellen ist aufgrund des nach Mogadischu gebuchten Fluges schon die Behauptung des Beschwerdeführers, er habe gar nie nach Mogadischu fliegen wollen, sondern von Anfang an beabsichtigt, nach Nairobi zu gelangen. Die eingereichten Schreiben der Reiseberaterin von TUI und des Arztes des Beschwerdeführers vermögen das angebliche Missverständnis nicht glaubhaft zu machen. Es ist vielmehr davon auszugehen, dass der Beschwerdeführer selbst bei Verständigungsschwierigkeiten in der Lage war, sein Reiseziel mitzuteilen, zumal für diese Mitteilung keine Deutschkenntnisse erforderlich sind. Entsprechend ist ganz grundsätzlich davon auszugehen, dass der Beschwerdeführer nach Mogadischu zu fliegen beabsichtigte. Die Nachforschungen des Gerichts haben weiter ergeben, dass am 11. Mai 2015 zwar ein Flug der kenianischen Fluggesellschaft Fly SAX (IATA-Code B5) von Nairobi nach Mogadischu stattgefunden hat. Das Flugzeug ist gemäss den verfügbaren Daten um 11 Uhr in Mogadischu gelandet und danach um 11.45 Uhr weitergeflogen, allerdings nicht nach Nairobi, sondern nach Wajir im Nordosten Kenias. Dasselbe Flugzeug ist schliesslich um 13.30 Uhr von Wajir nach Nairobi weitergeflogen (vgl. die öffentlich zugänglichen Daten auf &lt;www.flightstats.com&gt;, zuletzt abgerufen am 9. Mai 2016). Einen Direktflug von FlySAX von Mogadischu nach Nairobi gab es nicht. Weder aus der Beschwerde noch aus dem eingereichten elektronischen Ticket ergeben sich Hinweise darauf, dass der Beschwerdeführer über Wajir nach Nairobi gelangt ist. Weitere Zweifel entstehen, weil der Beschwerdeführer die eingereichte elektronische Buchungsbestätigung erst am 18. September 2015 per E-Mail erhalten hat - von einem Reisebüro, das ausser einer Facebook-Webseite keine Internetpräsenz aufweist und auch telefonisch unter der angegebenen Nummer nicht erreichbar ist. Gegen die Tatsachendarstellung des Beschwerdeführers spricht weiter, dass der kenianische Einreisestempel im Pass des Beschwerdeführers nicht vom 11. Mai 2015, sondern vom 12. Mai 2015 datiert. Überdies reicht der Beschwerdeführer Bankauszüge lediglich für die Zeit nach dem 1. Juni 2015 ein. Seine Bezugsaktivitäten für die Zeit im Mai sind hingegen nicht dokumentiert. Schliesslich ist für die Würdigung der Tatsachenbehauptungen des Beschwerdeführers zu berücksichtigen, dass er im Laufe des Verfahrens stark widersprüchliche Angaben gemacht hat. Zunächst behauptete er, in Mogadischu nur transitieren zu wollen (Ausreisepasskontrolle vom 10. Mai 2015). Dann behauptete er, gar nie nach Mogadischu geflogen zu sein, sondern einen Direktflug von Istanbul nach Nairobi genommen zu haben (Eingabe vom 20. August 2015). Auf Beschwerdeebene brachte er schliesslich wieder vor, die internationale Transitzone am Flughafen von Mogadischu nicht verlassen zu haben und direkt nach Nairobi weitergeflogen zu sein (Beschwerde vom 24. September 2015). Diese offenkundigen Widersprüche, welche auch auf Beschwerdeebene nicht nachvollziehbar erklärt werden, stellen die Glaubhaftigkeit der Aussagen des Beschwerdeführers ganz allgemein in Frage.</w:t>
      </w:r>
    </w:p>
    <w:p>
      <w:r>
        <w:rPr>
          <w:b/>
        </w:rPr>
        <w:t>E. 5.2</w:t>
      </w:r>
    </w:p>
    <w:p>
      <w:r>
        <w:t>Bei dieser Aktenlage geht das Gericht davon aus, dass der Beschwerdeführer sich länger als behauptet, zumindest aber - die Echtheit des kenianischen Einreisestempels vom 12. Mai 2015 vorausgesetzt - einen Tag in Mogadischu beziehungsweise in seinem Heimatland Somalia aufgehalten hat. Durch die eingereichten Bankauszüge und Arztzeugnisse erstellt ist lediglich, dass der Beschwerdeführer sich ab dem 1. Juni 2015 in Nairobi aufgehalten hat. Insgesamt geht das Gericht deshalb wie die Vor-instanz von einer freiwilligen Heimatreise des Beschwerdeführers aus.</w:t>
      </w:r>
    </w:p>
    <w:p>
      <w:r>
        <w:rPr>
          <w:b/>
        </w:rPr>
        <w:t>E. 5.3</w:t>
      </w:r>
    </w:p>
    <w:p>
      <w:r>
        <w:t>Bei der Prüfung der Frage, ob mit der freiwilligen Heimatreise auch eine Unterschutzstellung in Kauf genommen worden ist, muss unter anderem berücksichtigt werden, ob die Heimatreise heimlich oder offiziell erfolgt ist und ob dabei die Reisepapiere des Heimatstaates verwendet worden sind (vgl. EMARK 1996 Nr. 12 E. 8b). Vorliegend ist der Beschwerdeführer unter Verwendung seiner Ausweispapiere und damit auch unter Bekanntgabe seines Namens nach Somalia gereist und hat sich dort zumindest einen Tag lang aufgehalten. Damit hat er sich wieder unter den Schutz seines Heimatstaates gestellt beziehungsweise eine Unterschutzstellung zumindest in Kauf genommen, zumal er davon ausgehen musste, dass er für den Transit am Flughafen Mogadischu eine Identitätskontrolle der heimatlichen Behörden würde durchlaufen müssen. Daran vermag auch das Argument des Beschwerdeführers nichts zu ändern, dass UN-Truppen die Sicherheit des Flughafens Mogadischu gewährleisten sollen, zumal er nicht behauptet, vor seiner Reise in irgendeiner Art und Weise abgeklärt zu haben, ob er am Flughafen Mogadischu mit den Heimatbehörden in Kontakt kommen würde.</w:t>
      </w:r>
    </w:p>
    <w:p>
      <w:r>
        <w:rPr>
          <w:b/>
        </w:rPr>
        <w:t>E. 5.4</w:t>
      </w:r>
    </w:p>
    <w:p>
      <w:r>
        <w:t>Im vorliegenden Fall bestehen schliesslich keine Hinweise darauf, dass die somalischen Behörden dem Beschwerdeführer den von ihm in Kauf genommenen Schutz verweigert hätten. In diesem Zusammenhang ist zu berücksichtigen, dass er lediglich derivativ als Flüchtling anerkannt worden ist und Asyl erhalten hat. In der Verfügung des damaligen BFF vom 26. Juli 1999 wird nachvollziehbar ausgeführt, dass die Vorbringen des Beschwerdeführers, er sei aufgrund des somalischen Bürgerkriegs gefährdet, nicht asylrelevant waren. Eine mit Blick auf den Asylwiderruf relevante Schutzbedürftigkeit könnte sich folglich lediglich aus der Verheiratung des Beschwerdeführers mit einer tatsächlich verfolgten somalischen Frau und einer damit verbundenen Reflexverfolgung ergeben. Der Beschwerdeführer hat allerdings weder eine aktuelle Verfolgungsgefahr dargetan noch ergibt sich eine solche aus den Akten. Durch seine freiwillige Heimatreise hat er mit anderen Worten zum Ausdruck gebracht, dass er in Somalia keine Verfolgungshandlungen (mehr) zu befürchten hat. Vor diesem Hintergrund führt die dokumentierte Heimatreise des Beschwerdeführers gestützt auf Art. 63 Abs. 1 Bst. b AsylG i.V.m. Art. 1 C Ziff. 1 FK ohne weiteres zur Aberkennung seiner Flüchtlingseigenschaft und zum Widerruf des Asyls. Aus den Akten ergeben sich nämlich keine Hinweise darauf, dass die Aberkennung der Flüchtlingseigenschaft und der Widerruf des Asyls den Beschwerdeführer unverhältnismässig stark treffen würden, zumal er in der Schweiz über die Niederlassungsbewilligung verfügt und somit eine Wegweisung nicht zum Thema werden dürfte.</w:t>
      </w:r>
    </w:p>
    <w:p>
      <w:r>
        <w:rPr>
          <w:b/>
        </w:rPr>
        <w:t>E. 6</w:t>
      </w:r>
    </w:p>
    <w:p>
      <w:r>
        <w:t>Aus diesen Erwägungen ergibt sich, dass die angefochtene Verfügung Bundesrecht nicht verletzt, den rechtserheblichen Sachverhalt richtig und vollständig feststellt und - soweit überprüfbar - angemessen ist (Art. 106 AsylG). Die Beschwerde ist demnach abzuweisen.</w:t>
      </w:r>
    </w:p>
    <w:p>
      <w:r>
        <w:rPr>
          <w:b/>
        </w:rPr>
        <w:t>E. 7</w:t>
      </w:r>
    </w:p>
    <w:p>
      <w:r>
        <w:t>Bei diesem Ausgang des Verfahrens sind die Kosten von Fr. 750.- (Art. 1-3 des Reglements vom 21. Februar 2008 über die Kosten und Entschädigungen vor dem Bundesverwaltungsgericht [VGKE, SR 173.320.2])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