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E-597/2017 vom 6. März 2017</w:t>
      </w:r>
    </w:p>
    <w:p>
      <w:r>
        <w:t>Bundesverwaltungsgericht, 2017-03-06, DE</w:t>
      </w:r>
    </w:p>
    <w:p>
      <w:r>
        <w:rPr>
          <w:b/>
        </w:rPr>
        <w:t xml:space="preserve">Quelle: </w:t>
      </w:r>
      <w:r>
        <w:t>https://mcp.opencaselaw.ch/entscheid/bvger_E-597_2017</w:t>
      </w:r>
    </w:p>
    <w:p>
      <w:r>
        <w:t>FR: TAF E-597/2017 du 6 mars 2017</w:t>
      </w:r>
    </w:p>
    <w:p>
      <w:r>
        <w:t>IT: TAF E-597/2017 del 6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schutzwürdigesInteresse an deren Aufhebung beziehungsweise Änderung. Sie ist daher zur Einreichung der Beschwerde legitimiert (Art. 105 und 108 Abs. 1 AsylG; Art. 48 Abs. 1 sowie Art. 52 Abs. 1 VwVG). Auf die Beschwerde ist einzutreten.</w:t>
      </w:r>
    </w:p>
    <w:p>
      <w:r>
        <w:rPr>
          <w:b/>
        </w:rPr>
        <w:t>E. 1.4</w:t>
      </w:r>
    </w:p>
    <w:p>
      <w:r>
        <w:t>Gestützt auf Art. 111a Abs. 1 AsylG wurde in vorliegendem Verfahren auf einen Schriftenwechsel verzichtet.</w:t>
      </w:r>
    </w:p>
    <w:p>
      <w:r>
        <w:rPr>
          <w:b/>
        </w:rPr>
        <w:t>E. 2</w:t>
      </w:r>
    </w:p>
    <w:p>
      <w:r>
        <w:t>Die Kognition des Bundesverwaltungsgerichts und die zulässigen Rügen richten sich im Asylbereich nach Art. 106 Abs. 1 AsylG (vgl. BVGE 2014/26 E. 5).</w:t>
      </w:r>
    </w:p>
    <w:p>
      <w:r>
        <w:rPr>
          <w:b/>
        </w:rPr>
        <w:t>E. 3</w:t>
      </w:r>
    </w:p>
    <w:p>
      <w:r>
        <w:t>Da die Beschwerdeführerin vorläufig aufgenommen wurde und lediglich die Ziffern 1 und 4 der vorinstanzlichen Verfügung anfocht, beschränkt sich das Verfahren auf die Frage, ob das SEM zurecht deren Flüchtlingseigenschaft verneinte. Die Ziffern 2 und 3 blieben unangefochten und sind somit in Rechtskraft erwachsen.</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In der Beschwerde wird insbesondere moniert, dass die vorinstanzliche Praxisänderung, wonach eine illegale Ausreise aus Eritrea für sich genommen nicht mehr als Grund für die Zuerkennung der Flüchtlingseigenschaft gilt, unzulässig sei. Die Beschwerdeführerin verweist auf die bisherige Rechtsprechung, wonach das illegale Verlassen des Landes seitens der eritreischen Regierung als ein Zeichen politischer Opposition gegen den Staat gewertet werde und illegal ausgereiste Personen daher begründete Furcht haben müssten, bei einer Rückkehr in den Heimatstaat erheblichen Nachteilen ausgesetzt zu werden. Das SEM habe sich in Asylverfahren an die Rechtsprechung des Bundesverwaltungsgerichts zu halten, namentlich was die Beurteilung länderspezifischer Fragestellungen betreffe. Eine Abweichung von der geltenden Praxis sei gemäss BVGE 2015/54 nur in einzelnen Verfahren und nur mit einlässlicher Begründung möglich. Indem die Vorinstanz im Fall der Beschwerdeführerin die illegale Ausreise als untergeordnet erachte und keine Furcht vor ernsthaften Nachteilen bei einer Rückkehr sehe, weiche sie in unzulässiger Weise von der geltenden Praxis ab. Der vom SEM genannten, neuen Herkunftsländerinformationen seien keine Angaben zu entnehmen, wie Personen, die noch nicht für den Nationaldienst aufgeboten, von diesem befreit oder aus diesem entlassen worden seien, behandelt würden und ob diese keine drastischen Strafen aufgrund ihrer illegalen Ausreise zu erleiden hätten. Die Gesetze in Eritrea sähen klarerweise eine Bestrafung der illegalen Ausreise vor und es lägen keine gesicherten Erkenntnisse vor, dass die Beschwerdeführerin bei einer Rückkehr nach Eritrea nicht die gesetzlich vorgesehenen Strafen zu befürchten hätte. Sie habe daher begründete Furcht, bei einer Rückkehr ernsthaften Nachteilen im Sinne von Art. 3 Abs. 2 AsylG ausgesetzt zu sein, so dass sie die Voraussetzungen der Flüchtlingseigenschaft erfülle.</w:t>
      </w:r>
    </w:p>
    <w:p>
      <w:r>
        <w:rPr>
          <w:b/>
        </w:rPr>
        <w:t>E. 3.5</w:t>
      </w:r>
    </w:p>
    <w:p>
      <w:r>
        <w:t>Die Frage der Zulässigkeit der Praxisänderung des SEM bezüglich der flüchtlingsrechtlichen Beurteilung der illegalen Ausreise aus Eritrea ist vom Bundesverwaltungsgericht in einem Koordinationsverfahren mittlerweile geklärt worden. So wurde die bisherige Rechtsprechung, wonach eine illegale Ausreise aus Eritrea als subjektiver Nachfluchtgrund galt und zur Flüchtlingseigenschaft führte, mit dem Urteil D-7898/2015 aufgegeben. Das Gericht gelangte zum Schluss,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liessen und dadurch zu einer flüchtlingsrelevanten Verfolgungsgefahr führen könnten (vgl. Urteil des BVGer D-7898/2015 vom 30. Januar 2017 E.5 [als Referenzurteil publiziert]).</w:t>
      </w:r>
    </w:p>
    <w:p>
      <w:r>
        <w:rPr>
          <w:b/>
        </w:rPr>
        <w:t>E. 3.6</w:t>
      </w:r>
    </w:p>
    <w:p>
      <w:r>
        <w:t>Im Fall der Beschwerdeführerin sind keine zusätzlichen Anknüpfungspunkte ersichtlich, welche für eine Verschärfung ihres Profils führen würden, zumal der Asylpunkt (Ziff. 1 der angefochtenen Verfügung) unangefochten in Rechtskraft erwuchs. Wie die Vorinstanz kommt das Gericht zum Schluss, dass die Beschwerdeführerin keine begründete Furcht vor ernsthaften Nachteilen im Sinne von Art. 3 i.V.m. Art. 54 AsylG darzutun vermochte. Es kann auf die vorinstanzlichen Ausführungen sowie das oben erwähnte Koordinationsverfahren des Bundesverwaltungsgerichts verwiesen werden. Das SEM hat die Flüchtlingseigenschaft der Beschwerdeführerin zu Recht verneint. Auf eine Rückweisung an die Vorinstanz zur erneuten Entscheidung kann unter gegebenen Umständen verzichtet werden.</w:t>
      </w:r>
    </w:p>
    <w:p>
      <w:r>
        <w:rPr>
          <w:b/>
        </w:rPr>
        <w:t>E. 4</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2014/32 E. 9.2, m.w.H.)</w:t>
      </w:r>
    </w:p>
    <w:p>
      <w:r>
        <w:rPr>
          <w:b/>
        </w:rPr>
        <w:t>E. 5.3</w:t>
      </w:r>
    </w:p>
    <w:p>
      <w:r>
        <w:t>Indem die Vorinstanz im angefochtenen Asylentscheid vom 30. Dezember 2016 die vorläufige Aufnahme der Beschwerdeführerin angeordnet und die Rückführung in den Heimatstaat als nicht zumutbar erachtet hat, erübrigen sich weitere Ausführungen zu den alternativen Wegweisungsvollzugshindernissen der Unzulässigkeit und Unmöglichkeit. Die vorläufige Aufnahme tritt mit dem vorliegenden Entscheid in Kraft.</w:t>
      </w:r>
    </w:p>
    <w:p>
      <w:r>
        <w:rPr>
          <w:b/>
        </w:rPr>
        <w:t>E. 6</w:t>
      </w:r>
    </w:p>
    <w:p>
      <w:r>
        <w:t>Aus diesen Erwägungen ergibt sich, dass die angefochtene Verfügung Bundesrecht nicht verletzt und der rechtserhebliche Sachverhalt richtigsowie vollständig feststellt ist (Art. 106 Abs. 1 AsylG). Die Beschwerde ist abzuweisen.</w:t>
      </w:r>
    </w:p>
    <w:p>
      <w:r>
        <w:rPr>
          <w:b/>
        </w:rPr>
        <w:t>E. 7.1</w:t>
      </w:r>
    </w:p>
    <w:p>
      <w:r>
        <w:t>Bei diesem Ausgang des Verfahrens wären die Kosten grundsätzlich der Beschwerdeführerin aufzuerlegen (Art. 63 Abs. 1 VwVG). Da ihr mit Verfügung vom 1. Februar 2017 die unentgeltliche Prozessführung gewährt wurde und weiterhin von der Bedürftigkeit der Beschwerdeführerin ausgegangen werden muss, sind ihr keine Verfahrenskosten aufzuerlegen.</w:t>
      </w:r>
    </w:p>
    <w:p>
      <w:r>
        <w:rPr>
          <w:b/>
        </w:rPr>
        <w:t>E. 7.2</w:t>
      </w:r>
    </w:p>
    <w:p>
      <w:r>
        <w:t>Mit gleicher Verfügung vom 1. Februar 2017 wurde ferner das Gesuch um unentgeltliche Rechtsverbeiständung gestützt auf Art. 110a Abs. 1 AsylG gutgeheissen und der Beschwerdeführerin Ass. iur. Christian Hoffs als amtlicher Rechtsbeistand beigeordnet sowie dieser darüber orientiert, dass der Stundenansatz für nichtanwaltliche Vertretung Fr. 100.- bis Fr. 150.- beträgt (in Anwendung der Art. 10 und Art. 12 des Reglements vom 21. Februar 2008 über die Kosten und Entschädigungen vor dem Bundesverwaltungsgericht [VGKE, SR 173.320.2]). Die Rechtsvertretung hat am 27. Januar 2017 eine Kostennote zu den Akten gereicht, welche einen Stundenansatz von Fr. 200.- enthält. Das amtliche Honorar mit einem reduzierten Stundenansatz von Fr. 150.- für einen Aufwand von vier Stunden sowie den angemessen erscheinenden Auslagen von Fr. 132.50 beträgt demnach insgesamt Fr. 732.50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