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E-5977/2015 vom 2. Oktober 2015</w:t>
      </w:r>
    </w:p>
    <w:p>
      <w:r>
        <w:t>Bundesverwaltungsgericht, 2015-10-02, DE</w:t>
      </w:r>
    </w:p>
    <w:p>
      <w:r>
        <w:rPr>
          <w:b/>
        </w:rPr>
        <w:t xml:space="preserve">Quelle: </w:t>
      </w:r>
      <w:r>
        <w:t>https://mcp.opencaselaw.ch/entscheid/bvger_E-5977_2015</w:t>
      </w:r>
    </w:p>
    <w:p>
      <w:r>
        <w:t>FR: TAF E-5977/2015 du 2 octobre 2015</w:t>
      </w:r>
    </w:p>
    <w:p>
      <w:r>
        <w:t>IT: TAF E-5977/2015 del 2 ottobre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soweit das VGG und das AsylG nichts anderes bestimmen (Art. 37 VGG und Art. 6 AsylG).</w:t>
      </w:r>
    </w:p>
    <w:p>
      <w:r>
        <w:rPr>
          <w:b/>
        </w:rPr>
        <w:t>E. 1.3</w:t>
      </w:r>
    </w:p>
    <w:p>
      <w:r>
        <w:t>Das SEM hielt in der angefochtenen Verfügung fest, die Beschwerdefrist betrage fünf Arbeitstage (vgl. Art. 108 Abs. 2 i.V.m. Art. 40 AsylG und Art. 6a Abs. 2 Bst. a AsylG). Das Staatssekretariat hat dabei zu Recht und mit zutreffender Begründung die Voraussetzungen für einen Entscheid mit einer Beschwerdefrist gemäss Art. 108 Abs. 2 AsylG bejaht, nachdem der Heimatstaat der Beschwerdeführenden vom Bundesrat als verfolgungssicherer Staat gemäss Art. 6a Abs. 2 Bst. a AsylG bezeichnet worden ist und das SEM das Verfahren nach der Anhörung ohne weitere Abklärungen als spruchreif erachten durfte.</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1.5</w:t>
      </w:r>
    </w:p>
    <w:p>
      <w:r>
        <w:t>Die Beschwerde erweist sich als offensichtlich unbegründet und ist im Verfahren einzelrichterlicher Zuständigkeit mit Zustimmung eines zweiten Richters beziehungsweise einer zweiten Richterin (Art. 111 Bst. e AsylG) ohne Weiterungen zu behandeln (Art. 111a Abs. 1 und 2 AsylG).</w:t>
      </w:r>
    </w:p>
    <w:p>
      <w:r>
        <w:rPr>
          <w:b/>
        </w:rPr>
        <w:t>E. 1.6</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in Übereinstimmung mit der Vorinstanz zum Schluss, dass es den Beschwerdeführenden nicht gelungen ist, aufzuzeigen, dass sie in Albanien aktuell eine begründete Furcht vor ernsthaften Nachteilen im Sinne von Art. 3 AsylG befürchten müssen. Diesbezüglich kann vorab auf die zutreffenden vorinstanzlichen Erwägungen verwiesen werden.</w:t>
      </w:r>
    </w:p>
    <w:p>
      <w:r>
        <w:rPr>
          <w:b/>
        </w:rPr>
        <w:t>E. 4.2</w:t>
      </w:r>
    </w:p>
    <w:p>
      <w:r>
        <w:t>Sodann ist zwar festzuhalten, dass die Darlegung der Vorfälle bezüglich der Probleme mit der Familie des Ehemannes beziehungsweise Vaters, und insbesondere hinsichtlich der Schwierigkeiten mit [Verwandter], auf glaubhaften Schilderungen beruht. Dennoch wird aus der vorgetragenen Sachverhaltsdarstellung nicht ersichtlich, dass die Beschwerdeführenden eine im asylrechtlichen Kontext bedeutsame Verfolgung im Heimatland zu befürchten haben, da sich die vorgetragenen Ereignisse lediglich aus privaten Gründen ereignet haben. Einer privaten Familienfehde mangelt es am Erfordernis der flüchtlingsrechtlich relevanten Verfolgungsmotivation, da die geltend gemachten Verfolgungsmassnahmen seitens einer Privatperson nicht aus einem in Art. 3 Abs. 1 AsylG aufgezählten Grund, sondern aus einem asylfremden Motiv erfolgen und somit asylrechtlich nicht von Belang sind. Dabei vermögen auch die Vorbringen in der Rechtsmitteileinabe den Einwand der fehlenden Asylrelevanz nicht zu entkräften. Wie die Vorinstanz im Übrigen richtig festgehalten hat, hat der Bundesrat mit Beschluss vom 5. Oktober 1993 Albanien als verfolgungssicheren Staat im Sinne von Art. 6a Abs. 2 Bst. a AsylG bezeichnet. Somit besteht eine gesetzliche Regelvermutung, dass eine asylrelevante staatliche Verfolgung nicht besteht und Schutz vor nichtstaatlicher Verfolgung gewährleistet ist. Diese Vermutung kann im Einzelfall aufgrund konkreter und substantiierter Hinweise umgestossen werden. Vorliegend wurden jedoch keine solchen konkreten Anhaltspunkte für Schutzverweigerung oder Schutzunfähigkeit der albanischen Behörden aufgezeigt. Die Beschwerdeführenden haben sich in der Sache bis anhin gar nie an die Polizei gewandt respektive eine Strafanzeige erstattet. Aufgrund der Subsidiarität des Asyls hätten sie sich aber an die zuständigen Behörden in Albanien wenden müssen, bevor sie in der Schweiz um Schutz ersuchen. Ferner vermögen auch die in den Befragungen sowie in der Beschwerdeschrift aufgeführten Gründe die erwähnte Vermutung der Verfolgungssicherheit nicht umzustossen. Es ist davon auszugehen, dass der albanische Staat hinreichende Möglichkeiten zum Schutz vor häuslicher Gewalt bietet und es den Beschwerdeführerenden, allenfalls unter Beizug eines Rechtsanwalts, zuzumuten ist, sich an die dafür zuständigen Stellen zu wenden.</w:t>
      </w:r>
    </w:p>
    <w:p>
      <w:r>
        <w:rPr>
          <w:b/>
        </w:rPr>
        <w:t>E. 4.3</w:t>
      </w:r>
    </w:p>
    <w:p>
      <w:r>
        <w:t>Weiter ist auch in Bezug auf das Vorbringen, [Verwandter] habe dem Vater der Beschwerdeführerin nach ihrer Ausreise mit einer Blutfehde gemäss dem albanischen Gewohnheitsrecht Kanun gedroht, festzuhalten, dass diese allfälligen Racheakte lediglich von einer Privatperson ausgehende Verfolgungsmassnahmen darstellen und keine flüchtlingsrechtlich relevante Verfolgungsmotivation aufweisen würden. Allenfalls könnte das Risiko einer Blutrache im Hinblick auf die Zulässigkeit des Wegweisungsvollzugs (Art. 3 EMRK) relevant sein (vgl. unten E. 6.2).</w:t>
      </w:r>
    </w:p>
    <w:p>
      <w:r>
        <w:rPr>
          <w:b/>
        </w:rPr>
        <w:t>E. 4.4</w:t>
      </w:r>
    </w:p>
    <w:p>
      <w:r>
        <w:t>Die geltend gemachten Vorbringen sind nach dem Gesagten als nicht asylrelevant im Sinne von Art. 3 AsylG zu qualifizieren. Das SEM hat demnach die Flüchtlingseigenschaft der Beschwerdeführenden zu Recht verneint und deren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Auch aus dem Umstand, dass albanische Staatsangehörige seit dem 15. Dezember 2010 für einen kurzfristigen Aufenthalt im Schengenraum (maximal 90 Tage innerhalb einer Halbjahresperiode) von der Visumpflicht - unter der Voraussetzung, dass sie im Besitze eines biometrischen Passes sind - befreit sind, kann nichts zu Gunsten der Beschwerdeführenden abgeleitet werden. Die Wegweisung wurde demnach zu Recht angeordnet (vgl. BVGE 2009/50 E. 9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6.2.3</w:t>
      </w:r>
    </w:p>
    <w:p>
      <w:r>
        <w:t>Aus den Aussagen der Beschwerdeführenden und den Akten ergeben sich keine konkreten Anhaltspunkte dafür, dass sie für den Fall einer Ausschaffung nach Albanien dort mit beachtlicher Wahrscheinlichkeit einer nach Art. 3 EMRK oder Art. 1 FoK verbotenen Strafe oder Behandlung ausgesetzt wären. Auch ist in Bezug auf die geltend gemachte Drohung einer Blutfehde festzuhalten, dass gemäss Praxis des Europäischen Gerichtshofes für Menschenrechte (EGMR) sowie jener des UN-Anti-Folterausschusses eine konkrete Gefahr ("real risk") nachgewiesen oder glaubhaft gemacht werden müsste, dass den Beschwerdeführenden im Fall einer Rückschiebung Folter oder unmenschliche Behandlung drohen würde (vgl. EGMR, Saadi gegen Italien, Urteil vom 28. Februar 2008, Beschwerde Nr. 37201/06, §§ 124-127, m.w.H.).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EGMR, Ahmed gegen Österreich, Urteil vom 17. Dezember 1996, Beschwerde Nr. 25964/94; seither ständige Praxis). Auch bereits die ARK ging davon aus, dass die Anwendung von Art. 3 EMRK nicht voraussetzt, die drohende menschenrechtswidrige Behandlung müsse von staatlichen Organen ausgehen (vgl. EMARK 2004 Nr. 14 E. 5.b, mit Hinweis auf EMARK 1996 Nr. 18 S. 182 ff.). Was die geschützten Rechtsgüter anbelangt, so ist der Anwendungsbereich von Art. 3 EMRK enger als derjenige des Non-Refoulement-Prinzips. Er umfasst nur den Schutz vor drohender Folter, unmenschlicher Behandlung oder Strafe und anderen schwerwiegenden Verletzungen der körperlichen oder psychischen Integrität einer Person, nicht aber vor jeder Art politisch motivierter Massnahmen, die zur Asylgewährung führen können. Hingegen deckt Art. 3 EMRK auch unmenschliche Strafen als Folge gemeinrechtlicher Delikte ab.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eine "konkrete und ernsthafte Gefahr" besteht, dass die betroffene Person eine schwere Menschenrechtsverletzung erleiden wird (vgl. EGMR, Saadi gegen Italien, a.a.O.; EMARK 1996 Nr. 18 S. 186 f.). Der Gerichtshof hielt hierzu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w:t>
      </w:r>
    </w:p>
    <w:p>
      <w:r>
        <w:rPr>
          <w:b/>
        </w:rPr>
        <w:t>E. 6.2.4</w:t>
      </w:r>
    </w:p>
    <w:p>
      <w:r>
        <w:t>Vorliegend machte die Beschwerdeführerin geltend, dass ihrem Vater nach ihrer Ausreise seitens [Verwandter] eine Blutfehde angedroht worden sei. Diese Ausführungen sind unsubstantiiert und wenig konkret, weshalb sie nicht geeignet sind, eine ernsthafte Gefahr im Sinne der Rechtsprechung aufzuzeigen beziehungsweise darzulegen, dass die vorgetragene Blutfehde mit hinreichender Wahrscheinlichkeit ausgeführt wird respektive gegenüber wem konkret sie sich realisieren soll. Im Übrigen können die Beschwerdeführenden einer allfälligen, Art. 3 EMRK zuwiderlaufenden Behandlung seitens Dritter dadurch begegnen, dass sie sich in einem anderen Teil Albaniens niederlassen. Eine innerstaatliche Wohnsitzalternative ist grundsätzlich immer dann gegeben, wenn eine Person nur in einem Teil oder lediglich in begrenzten Teilen ihres Heimatlandes ernsthaften Nachteilen ausgesetzt ist oder solche Nachteile zu befürchten hat, in anderen Landesteilen aber Zuflucht und Schutz finden kann. Die Beschwerdeführenden vermögen demnach nicht aufzuzeigen, dass sie durch eine Rückkehr in ihr Heimatland einem realen Risiko einer Verletzung von Art. 3 EMRK ausgesetzt sind.</w:t>
      </w:r>
    </w:p>
    <w:p>
      <w:r>
        <w:rPr>
          <w:b/>
        </w:rPr>
        <w:t>E. 6.2.5</w:t>
      </w:r>
    </w:p>
    <w:p>
      <w:r>
        <w:t>Auch die allgemeine Menschenrechtssituation im Heimatstaat lässt den Wegweisungsvollzug zum heutigen Zeitpunkt nicht als unzulässig erscheinen. Allein aus schlechten Lebensbedingungen ergibt sich keine Gefährdung oder Bedrohung im Sinne des Art. 3 EMRK, solange die notdürftigsten Lebensgrundlagen sichergestellt sind. Den Angaben der Beschwerdeführenden kann jedenfalls nicht entnommen werden, dass sie bei einer Rückführung in ihr Heimatland hinsichtlich existenzieller Grundbedürfnisse einer lebensbedrohenden Situation ausgesetzt wären.</w:t>
      </w:r>
    </w:p>
    <w:p>
      <w:r>
        <w:rPr>
          <w:b/>
        </w:rPr>
        <w:t>E. 6.2.6</w:t>
      </w:r>
    </w:p>
    <w:p>
      <w:r>
        <w:t>Nach dem Gesagten ist der Vollzug der Wegweisung sowohl im Sinne der asyl- als auch der völkerrechtlichen Bestimmungen zulässig.</w:t>
      </w:r>
    </w:p>
    <w:p>
      <w:r>
        <w:rPr>
          <w:b/>
        </w:rPr>
        <w:t>E. 6.3.1</w:t>
      </w:r>
    </w:p>
    <w:p>
      <w:r>
        <w:t>Der Vollzug der Wegweisung kann nach Art. 83 Abs. 4 AuG unzumutbar sein, wenn der Ausländer oder die Ausländerin im Heimat- oder Herkunftsstaat auf Grund von Situationen wie Krieg, Bürgerkrieg, allgemeiner Gewalt und medizinischer Notlage konkret gefährdet sind.</w:t>
      </w:r>
    </w:p>
    <w:p>
      <w:r>
        <w:rPr>
          <w:b/>
        </w:rPr>
        <w:t>E. 6.3.2</w:t>
      </w:r>
    </w:p>
    <w:p>
      <w:r>
        <w:t>Angesichts der heutigen Lage in Albanien ist gemäss konstanter Praxis nicht von einer Situation allgemeiner Gewalt oder kriegerischen respektive bürgerkriegsähnlichen Verhältnissen zu sprechen. Es bleibt zu prüfen, ob den Beschwerdeführenden aufgrund ihrer individuellen Lage der Vollzug der Wegweisung zuzumuten ist.</w:t>
      </w:r>
    </w:p>
    <w:p>
      <w:r>
        <w:rPr>
          <w:b/>
        </w:rPr>
        <w:t>E. 6.3.3</w:t>
      </w:r>
    </w:p>
    <w:p>
      <w:r>
        <w:t>Das SEM hat in der angefochtenen Verfügung auf das Beratungszentrum CCWG in Tirana hingewiesen. Den Beschwerdeführenden steht damit eine weitere Möglichkeit offen, Unterstützung bei einem allfälligen Vorgehen gegen die Familie des Ehemannes beziehungsweise Vaters im Zusammenhang mit den erlittenen oder allenfalls zukünftig sich ergebenden Behelligungen zu erhalten. Sodann verfügen die Beschwerdeführenden in ihrem Heimatstaat über ein Beziehungsnetz und sind von diesem - im Rahmen des Möglichen - bereits früher unterstützt worden (A9/12 S. 4; A9/13 S. 7), weshalb anzunehmen ist, dass sie auch im Falle einer Rückkehr auf Hilfe zählen können. Im Übrigen sollen sie gemäss eigenen Angaben seit seinem Weggang keinen Kontakt mehr zum Ehemann (A9/13 S. 10) beziehungsweise Vater (A4/10 S. 4) haben, was äusserst unplausibel erscheint, zumal die geltend gemachten Schwierigkeiten nicht zwischen den Mitgliedern der Kernfamilie bestanden haben. Weiter hat die Beschwerdeführerin als (...) gearbeitet (A9/13 S. 3), weshalb sie und ihre Kinder aufgrund eigener Bemühungen und mithilfe der sozialen Verknüpfung des Familiennetzes sowie allenfalls mittels der von der Schweiz gewährten Rückkehrhilfe (vgl. Art. 62 ff. der Asylverordnung 2 über Finanzierungsfragen vom 11. August 1999 [AsylV 2, SR 142.312]) nicht in eine finanzielle Notlage geraten sollten. Schliesslich steht auch ihr derzeitiger Gesundheitszustand (A9/13 S. 9f.) dem Vollzug der Wegweisung nicht entgegen.</w:t>
      </w:r>
    </w:p>
    <w:p>
      <w:r>
        <w:rPr>
          <w:b/>
        </w:rPr>
        <w:t>E. 6.4</w:t>
      </w:r>
    </w:p>
    <w:p>
      <w:r>
        <w:t>Im Übrigen obliegt es den Beschwerdeführenden, sich bei der zuständigen Vertretung des Heimatstaates die für eine Rückkehr notwendigen Reisedokumente zu beschaffen (vgl. Art. 8 Abs. 4 AsylG und dazu auch BVGE 2008/34 E. 12) beziehungsweise sind sie im Besitz eines gültigen albanischen Reisepasses, weshalb der Vollzug der Wegweisung auch als möglich zu bezeichnen ist (Art. 83 Abs. 2 AuG).</w:t>
      </w:r>
    </w:p>
    <w:p>
      <w:r>
        <w:rPr>
          <w:b/>
        </w:rPr>
        <w:t>E. 6.5</w:t>
      </w:r>
    </w:p>
    <w:p>
      <w:r>
        <w:t>Zusammenfassend hat die Vorinstanz den Wegweisungsvollzug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und auch sonst nicht zu beanstanden ist (Art. 106 AsylG). Die Beschwerde ist demnach abzuweisen.</w:t>
      </w:r>
    </w:p>
    <w:p>
      <w:r>
        <w:rPr>
          <w:b/>
        </w:rPr>
        <w:t>E. 8.1</w:t>
      </w:r>
    </w:p>
    <w:p>
      <w:r>
        <w:t>Die Beschwerdeführenden beantragten die Gewährung der unentgeltlichen Rechtspflege gemäss Art. 65 Abs. 1 VwVG. Aufgrund der vorstehenden Erwägungen ergibt sich, dass ihre Begehren als aussichtslos zu gelten haben. Damit ist eine der kumulativ zu erfüllenden Voraussetzungen nicht gegeben, weshalb das Gesuch um Gewährung der unentgeltlichen Prozessführung abzulehnen ist. Auch das Gesuch um Gewährung der unentgeltlichen Rechtsverbeiständung ist folglich abzuweisen.</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