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E-5974/2014 vom 24. Februar 2015</w:t>
      </w:r>
    </w:p>
    <w:p>
      <w:r>
        <w:t>Bundesverwaltungsgericht, 2015-02-24, DE</w:t>
      </w:r>
    </w:p>
    <w:p>
      <w:r>
        <w:rPr>
          <w:b/>
        </w:rPr>
        <w:t xml:space="preserve">Quelle: </w:t>
      </w:r>
      <w:r>
        <w:t>https://mcp.opencaselaw.ch/entscheid/bvger_E-5974_2014</w:t>
      </w:r>
    </w:p>
    <w:p>
      <w:r>
        <w:t>FR: TAF E-5974/2014 du 24 février 2015</w:t>
      </w:r>
    </w:p>
    <w:p>
      <w:r>
        <w:t>IT: TAF E-5974/2014 del 24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vorliegende Beschwerde ist in Englisch und somit nicht in einer Amtssprache des Bundes abgefasst. Auf die Ansetzung einer Frist zur Beschwerdeverbesserung oder auf die Einholung einer Übersetzung kann indessen aus prozessökonomischen Gründen praxisgemäss verzichtet werden. Abgesehen vom sprachlichen Mangel ist die Beschwerde mit der Nachbesserung vom 10. November 2014 frist- und formgerecht eingereicht. Die fehlende Unterschrift respektive Vollmacht der Beschwerdeführerin 2 zu Gunsten ihres Ehemannes steht einem Eintreten auf die Beschwerde angesichts der durch den Beschwerdeführer 1 schriftlich sowie die Botschaft in Beirut telefonisch geschilderten besonderen Umstände nicht entgegen. Demnach befindet sich die Beschwerdeführerin 2 mit den Kindern in Syrien, kann aufgrund der Einstellung des Postverkehrs zwischen dem Libanon und Syrien nicht erreicht werden und hat aufgrund der jüngsten grenzpolizeilichen Massnahmen an der Grenze zwischen Syrien und dem Libanon sowie der mangelnden finanziellen Mittel derzeit keine Möglichkeit, in den Libanon zu reisen.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diese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 4.1 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Die erlittenen beziehungsweise drohenden Nachteile müssen nachgewiesen oder zumindest glaubhaft gemacht werden (Art. 7 AsylG). 4.2 Für die Erteilung einer Einreisebewilligung gelten restriktive Voraus­setzungen, wobei den Behörden ein weiter Ermessensspielraum zu­kommt. Neben der erforderlichen Gefährdung im Sinne von Art. 3 AsylG sind mit Blick auf den Ausschlussgrund von aArt. 52 Abs. 2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5.1</w:t>
      </w:r>
    </w:p>
    <w:p>
      <w:r>
        <w:t>Die Vorinstanz begründete ihren Entscheid im Wesentlichen damit, dass aufgrund des vollständig erstellten Sachverhalts davon ausgegangen werden könne, dass keine unmittelbare Gefährdung vorliege, die die Einreise der Beschwerdeführenden in die Schweiz als notwendig erscheinen liesse. Deshalb sei die Einreise zu verweigern und die Asylgesuche seien abzulehnen. Hinsichtlich der nach wie vor in Syrien lebenden Beschwerdeführerin 2 und der beiden Kinder stellte das BFM fest, dass diese keine einreiserelevanten Nachteile im Sinne von Art. 3 AsylG erlitten hätten. Die Bombardierung des Hauses müsse im Zusammenhang mit dem syrischen Bürgerkrieg gesehen werden und könne nicht als gezielte Verfolgung im Sinne von Art. 3 AsylG eingestuft werden. Betreffend den Beschwerdeführer 1 führte das BFM aus, dessen Vorbringen seien keine Hinweise zu entnehmen, wonach er im Zeitpunkt der Ausreise aus Syrien von einreiserelevanten Nachteilen bedroht gewesen sei. Die erlittene Bombardierung des Hauses und der Verlust der Arbeitsstelle seien im Zusammenhang mit dem Bürgerkrieg zu sehen und nicht als asylrelevante Verfolgung zu qualifizieren. Folglich sei keine Schutzbedürftigkeit im Sinne des Asylgesetzes gegeben.</w:t>
      </w:r>
    </w:p>
    <w:p>
      <w:r>
        <w:rPr>
          <w:b/>
        </w:rPr>
        <w:t>E. 5.2</w:t>
      </w:r>
    </w:p>
    <w:p>
      <w:r>
        <w:t>Auf Beschwerdeebene wird insbesondere vorgebracht, der Beschwerdeführer 1 könne nicht nach Syrien zurückkehren. Er werde von der Regierung gesucht, weil er Gewalt und Krieg ablehne, nicht kämpfen und keine Waffe tragen wolle. Er befürchte, im Falle einer Rückkehr verhaftet zu werden oder zu sterben. Im Libanon finde er als Syrer keine Arbeit mehr. Zudem laufe sein Reisepass demnächst (im Oktober 2014) ab. Ohne diesen könne er nicht im Libanon bleiben. Die Beschwerdeführerin 2 könne sich auf den Strassen nicht frei bewegen, da religiöse Gruppen sie anhalten würden, und es gebe überall nur Tötungen, Entführungen, Vergewaltigung und Blut.</w:t>
      </w:r>
    </w:p>
    <w:p>
      <w:r>
        <w:rPr>
          <w:b/>
        </w:rPr>
        <w:t>E. 5.3</w:t>
      </w:r>
    </w:p>
    <w:p>
      <w:r>
        <w:t>Nach Prüfung der Akten gelangt das Bundesverwaltungsgericht in Bestätigung des vorinstanzlichen Entscheids zum Schluss, dass die Beschwerdeführenden nicht auf den Schutz der Schweiz angewiesen sind. Diesbezüglich kann auf die Erwägungen des BFM verwiesen werden, denen sich das Bundesverwaltungsgericht vollumfänglich anschliesst. Die Einwendungen auf Beschwerdeebene sind nicht geeignet, den vor­instanzlichen Entscheid in Frage zu stellen. Die durch die Beschwerdeführerin 2 geltend gemachte Einschränkung der Bewegungsfreiheit und die Zerstörungen sind Begleitumstände des in Syrien herrschenden Bürgerkrieges. Das Gericht verkennt nicht, dass die derzeitige Lage in Syrien zu erheblichen Beeinträchtigungen des täglichen Lebens der Beschwerdeführenden - wie auch der übrigen Bevölkerung - führt und die aktuelle Situation für die Familie schwierig ist. Diese gründet indes nicht auf einer gezielten Verfolgung der Beschwerdeführenden gemäss Art. 3 Abs. 1 AsylG. Die Beschwerdeführenden gehören in Syrien sodann keiner Minderheit an und führten anlässlich der Botschaftsbefragung aus, nie politisch oder religiös aktiv gewesen zu sein (vgl. die vorinstanzlichen Akten A4/8 Q31-34 und A5/8 Q 31-34). Sie konnten Syrien ausserdem im Herbst 2012 und Anfang 2013 (Beschwerdeführer 1) respektive im Herbst 2013 (Beschwerdeführerin 2) legal verlassen und ohne Probleme wieder einreisen (vgl. A4/8 Q36-39 und A5/8 Q35-38). Eine unmittelbar drohende Verfolgung ist daher ebenfalls nicht ersichtlich. Daran ändert auch eine allfällige Rückkehr des Beschwerdeführers 1 nach Syrien nichts. In diesem Zusammenhang ist anzumerken, dass die geltend gemachte Suche nach ihm weder durch Beweismittel belegt noch hinreichend ausführlich und glaubhaft dargelegt wird, so dass sie als Schutzbehauptung qualifiziert werde muss. Zusammenfassend hat die Vorinstanz den Beschwerdeführenden zu Recht die Einreise in die Schweiz verweigert und die Asylgesuche mit zutreffender Begründung abgewiesen.</w:t>
      </w:r>
    </w:p>
    <w:p>
      <w:r>
        <w:rPr>
          <w:b/>
        </w:rPr>
        <w:t>E. 6</w:t>
      </w:r>
    </w:p>
    <w:p>
      <w:r>
        <w:t>Aus diesen Erwägungen ergibt sich, dass die angefochtene Verfügung Bundesrecht nicht verletzt und den rechtserheblichen Sachverhalt richtig sowie vollständig feststellt (Art. 106 Abs. 1 AsylG). Die Beschwerde ist mithin abzuweisen.</w:t>
      </w:r>
    </w:p>
    <w:p>
      <w:r>
        <w:rPr>
          <w:b/>
        </w:rPr>
        <w:t>E. 7</w:t>
      </w:r>
    </w:p>
    <w:p>
      <w:r>
        <w:t>Bei diesem Ausgang des Verfahrens wären die Kosten grundsätzlich den unterliegenden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