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E-5973/2020 vom 10. Dezember 2020</w:t>
      </w:r>
    </w:p>
    <w:p>
      <w:r>
        <w:t>Bundesverwaltungsgericht, 2020-12-10, DE</w:t>
      </w:r>
    </w:p>
    <w:p>
      <w:r>
        <w:rPr>
          <w:b/>
        </w:rPr>
        <w:t xml:space="preserve">Quelle: </w:t>
      </w:r>
      <w:r>
        <w:t>https://mcp.opencaselaw.ch/entscheid/bvger_E-5973_2020</w:t>
      </w:r>
    </w:p>
    <w:p>
      <w:r>
        <w:t>FR: TAF E-5973/2020 du 10 décembre 2020</w:t>
      </w:r>
    </w:p>
    <w:p>
      <w:r>
        <w:t>IT: TAF E-5973/2020 del 10 dicembre 2020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den Antrag, es sei der Beschwerde die aufschiebende Wirkung zu gewähren, und auf das Rechtsbegehren betreffend Berichtigung des Geburtsdatums des Beschwerdeführers im ZEMIS wird nicht eingetreten.</w:t>
      </w:r>
    </w:p>
    <w:p>
      <w:r>
        <w:rPr>
          <w:b/>
        </w:rPr>
        <w:t>E. 2</w:t>
      </w:r>
    </w:p>
    <w:p>
      <w:r>
        <w:t>Die Beschwerde wird gutgeheissen, soweit die Aufhebung der vorinstanzlichen Verfügung beantragt wird.</w:t>
      </w:r>
    </w:p>
    <w:p>
      <w:r>
        <w:rPr>
          <w:b/>
        </w:rPr>
        <w:t>E. 3</w:t>
      </w:r>
    </w:p>
    <w:p>
      <w:r>
        <w:t>Die Dispositiv-Ziffern 4 und 5 der Verfügung vom 28. Oktober 2020 werden aufgehoben und die Sache wird im Sinne der Erwägungen ans SEM zurückgewiesen.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Das SEM wird angewiesen, dem Beschwerdeführer für das Verfahren vor dem Bundesverwaltungsgericht eine Parteientschädigung in der Höhe von Fr. 1'600.- auszurichten.</w:t>
      </w:r>
    </w:p>
    <w:p>
      <w:r>
        <w:rPr>
          <w:b/>
        </w:rPr>
        <w:t>E. 6</w:t>
      </w:r>
    </w:p>
    <w:p>
      <w:r>
        <w:t>Dieses Urteil geht an den Beschwerdeführer, das SEM und die kantonale Migrationsbehörde.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