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E-5972/2006 vom 19. März 2010</w:t>
      </w:r>
    </w:p>
    <w:p>
      <w:r>
        <w:t>Bundesverwaltungsgericht, 2010-03-19, FR</w:t>
      </w:r>
    </w:p>
    <w:p>
      <w:r>
        <w:rPr>
          <w:b/>
        </w:rPr>
        <w:t xml:space="preserve">Quelle: </w:t>
      </w:r>
      <w:r>
        <w:t>https://mcp.opencaselaw.ch/entscheid/bvger_E-5972_2006</w:t>
      </w:r>
    </w:p>
    <w:p>
      <w:r>
        <w:t>FR: TAF E-5972/2006 du 19 mars 2010</w:t>
      </w:r>
    </w:p>
    <w:p>
      <w:r>
        <w:t>IT: TAF E-5972/2006 del 19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PA prises par les autorités mentionnées à l'art. 33 LTAF. En particulier, les décisions rendues par l'ODM concernant l'asile peuvent être contestées devant le Tribunal administratif fédéral conformément à l'art. 105 lAsi.</w:t>
      </w:r>
    </w:p>
    <w:p>
      <w:r>
        <w:rPr>
          <w:b/>
        </w:rPr>
        <w:t>E. 1.2</w:t>
      </w:r>
    </w:p>
    <w:p>
      <w:r>
        <w:t>Les recours qui étaient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La recourante a qualité pour recourir. Présenté dans la forme et les délais prescrits par la loi, le recours est recevable (art. 48 ss PA dans leurs versions en vigueur au moment du dépôt du recours).</w:t>
      </w:r>
    </w:p>
    <w:p>
      <w:r>
        <w:rPr>
          <w:b/>
        </w:rPr>
        <w:t>E. 1.5</w:t>
      </w:r>
    </w:p>
    <w:p>
      <w:r>
        <w:t>En procédure de recours, la langue est celle de la décision attaquée. Toutefois, si la partie utilise une autre langue officielle, celle-ci peut être adoptée (cf. art. 33a PA). En l'espèce, dans la mesure où l'intéressée a recouru en langue française, le Tribunal est habilité à rendre l'arrêt dans cette langue.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aurait été mariée de force par sa mère et son beau-père à un homme bien plus âgé qu'elle et par ailleurs déjà marié à trois autres femmes. Cet homme aurait abusé d'elle à plusieurs reprises, avant qu'elle ne puisse prendre la fuite. Afin d'étayer ses déclarations, dont la crédibilité a été mis en doute par l'ODM dans la décision attaquée, l'intéressée a produit au stade du recours un certificat médical, lequel retient des symptômes de peur ainsi que d'une dépression, laissant supposer un probable syndrome de stress post-traumatique. Toutefois, l'intéressée ne s'étant pas exprimée sur son vécu antérieur à son arrivée en Suisse, ce diagnostic n'a pu être établi avec certitude. Dans ses déterminations du 8 mai 2007, l'ODM a estimé qu'il n'existait pas de lien de causalité entre le vécu allégué en Côte d'Ivoire et les troubles psychiques observés en Suisse, en l'absence de vraisemblance des propos relatifs au dit vécu. Au vu des pièces du dossier, et en l'absence de tout élément concret susceptible d'étayer les déclarations de la recourante, le Tribunal ne peut que corroborer l'appréciation faite par l'ODM. Il est d'autant plus conforté dans son appréciation que figure au dossier de l'intéressée un passeport établi à son nom, lequel retient que cette dernière est coiffeuse de formation et a eu son domicile à Abidjan. Or, ces éléments ne cadrent pas avec le récit invoqué par l'intéressée à l'appui de sa demande d'asile. Cela étant, le Tribunal observe encore qu'au début des années 1960, les autorités ivoiriennes se sont dotées d'un nouveau droit de la famille, lequel interdit en principe la polygamie. Par ailleurs, le code pénal adopté le 31 juillet 1981 a renforcé les dispositions du code civil du 7 octobre 1964, au sujet de la polygamie, en fixant les peines en cas d'infraction (cf. 5ème Conférence sur la Population Africaine, Arusha, Tanzanie, 10-14 décembre 2007 - Transformation progressive des régimes traditionnels de nuptialité en Côte d'Ivoire). Certes, ces codes n'ont pas mis un terme définitif à la polygamie, laquelle est encore pratiquée dans certaines régions de la Côte d'Ivoire, mais ont le mérite de légiférer en la matière, de sorte qu'il aurait pu être attendu de l'intéressée - pour autant que son récit soit authentique - qu'elle s'adresse aux autorités de son pays et requiert leur soutien. En effet, dès lors que l'intéressée invoquait essentiellement des persécutions imputables à une tierce personne, il lui appartenait de solliciter la protection des autorités, vu que la protection internationale ne revêt qu'un caractère subsidiaire par rapport à la protection nationale, lorsque celle-ci existe et qu'elle peut être requise sans restriction particulière. Ainsi, on peut en principe attendre d'un requérant d'asile qu'il épuise dans son propre pays les possibilités de trouver une protection adéquate avant de solliciter celle d'un État tiers. Or, force est de constater qu'en l'espèce, l'intéressée n'a à aucun moment sollicité la protection des autorités ivoiriennes, dont rien indique au dossier qu'elles n'auraient pas été en mesure ou qu'elles auraient refusé de la lui accorder puisque, comme relevé ci-avant, la polygamie est combattue en Côte d'Ivoire. De plus, dans le présent cas, force est de constater que les préjudices allégués et craints par l'intéressée seraient manifestement circonscrits à son village d'origine. Dès lors, la recourante aurait eu avant son départ et aurait encore aujourd'hui la possibilité d'échapper aux menaces alléguées en s'établissant dans une autre partie de son pays, en particulier à Yamoussoukro, capitale nationale ou à Abidjan, capitale économique de la Côte d'Ivoire (sur la notion de refuge interne, cf. notamment JICRA 1997 n° 14 consid. 2b p. 106s. et JICRA 1996 n° 1 consid. 5c p. 6s. ; cf. également JICRA 2006 n° 18 consid. 10.3 p. 203s., JICRA 2000 n° 15 consid. 10 à 12 p. 119ss et JICRA 1997 n° 12 consid. 6b p. 88).</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pour les mêmes raisons que celles indiquées plus haut, le Tribunal considère que la recourante n'a pas fait valoir à satisfaction un véritable risque concret et sérieux d'être victime de traitements prohibés par le droit international, en cas de renvoi dans son pays (cf. dans ce sens : JICRA 1996 n ° 18 consid. 14b spéc. let. ee p. 182ss).</w:t>
      </w:r>
    </w:p>
    <w:p>
      <w:r>
        <w:rPr>
          <w:b/>
        </w:rPr>
        <w:t>E. 6.4</w:t>
      </w:r>
    </w:p>
    <w:p>
      <w:r>
        <w:t>Il s'ensuit que l'exécution du renvoi est licite au sens des art. 83 al. 3 LEtr et 44 al. 2 LAsi.</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la Côte d'Ivoire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7.3</w:t>
      </w:r>
    </w:p>
    <w:p>
      <w:r>
        <w:t>En effet, dans un arrêt récent (Arrêt du Tribunal administratif fédéral E-5316/2006, du 24 novembre 2009, destiné à publication), le Tribunal a précisé que l'exécution du renvoi d'un ressortissant de Côte d'Ivoire est, en règle générale, raisonnablement exigible dans le sud et à l'est du pays, notamment dans les grands centres urbains de ces régions, comme par exemple Abidjan ou Yamoussoukro.</w:t>
      </w:r>
    </w:p>
    <w:p>
      <w:r>
        <w:rPr>
          <w:b/>
        </w:rPr>
        <w:t>E. 7.4</w:t>
      </w:r>
    </w:p>
    <w:p>
      <w:r>
        <w:t>Dans le présent cas, le Tribunal retient que la recourante a déclaré être née à B._______, région située au centre du pays, et y avoir vécu jusqu'à son départ. L'ODM a mis en doute les déclarations de l'intéressée, dans la mesure où elle n'a pas été en mesure de donner des indications précises sur les lieux dans lesquels elle dit avoir séjourné et qu'interrogée sur la signification du mot « Kossou », elle s'est contentée de déclarer qu'il s'agissait d'un lac. En l'occurrence, si rien ne permet de nier que l'intéressée est bien née à B._______, ainsi que l'attestent divers documents (extrait du registre des actes de l'état civil pour l'année 1984, certificat de célibat, certificat de naissance et passeport) force est de constater que le passeport établi au nom de l'intéressée indique que celle-ci est coiffeuse et a pour domicile Abidjan. En conséquence, le Tribunal retient que l'intéressée a vécu dans cette dernière ville et que, manifestement, elle s'y est constituée un certain réseau. Sous cet angle, rien ne s'oppose à l'exécution de son renvoi à Abidjan et, ce d'autant moins qu'il n'existe au dossier aucun élément concret et tangible, qui laisserait à penser que la recourante pourrait risquer d'être entraînée à son corps défendant dans un réseau de prostitution. A cela s'ajoute le fait que la recourante est jeune et manifestement au bénéfice d'une expérience professionnelle. Certes, elle a allégué souffrir de troubles psychiques en raison de son vécu dans son pays et a produit à cet effet un certificat médical. Cependant, ainsi que cela a été relevé ci-avant, son récit, invoqué à l'origine de ces troubles, n'a pas été considéré comme vraisemblable. Aussi, si le Tribunal ne nie pas que la recourante présente, ou a présenté certains problèmes à son arrivée en Suisse, il ne saurait toutefois considérer que ces derniers présentent une gravité telle que l'exécution du renvoi mettrait concrètement sa vie en danger. A cela s'ajoute que la recourante ne s'étant pas exprimée autrement sur ce qu'elle aurait réellement vécu dans son pays d'origine, force est de constater que la thérapie, dont elle pourrait éventuellement avoir besoin, ne peut être mise en place ni être efficace. A toute fin utile, il sied de relever qu'elle pourrait toutefois recevoir dans son pays des soins ad hoc.</w:t>
      </w:r>
    </w:p>
    <w:p>
      <w:r>
        <w:rPr>
          <w:b/>
        </w:rPr>
        <w:t>E. 7.5</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compte tenu des circonstances du cas d'espèce, il y est renoncé.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