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E-5971/2016 vom 23. Februar 2017</w:t>
      </w:r>
    </w:p>
    <w:p>
      <w:r>
        <w:t>Bundesverwaltungsgericht, 2017-02-23, DE</w:t>
      </w:r>
    </w:p>
    <w:p>
      <w:r>
        <w:rPr>
          <w:b/>
        </w:rPr>
        <w:t xml:space="preserve">Quelle: </w:t>
      </w:r>
      <w:r>
        <w:t>https://mcp.opencaselaw.ch/entscheid/bvger_E-5971_2016</w:t>
      </w:r>
    </w:p>
    <w:p>
      <w:r>
        <w:t>FR: TAF E-5971/2016 du 23 février 2017</w:t>
      </w:r>
    </w:p>
    <w:p>
      <w:r>
        <w:t>IT: TAF E-5971/2016 del 23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des vorliegenden Beschwerdeverfahrens ist der Asylpunkt, die Wegweisung und die Flüchtlingseigenschaft der Beschwerdeführerin. Der Wegweisungsvollzug ist nicht mehr zu prüfen, nachdem die Vorinstanz die Beschwerdeführerin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Vorinstanz führt in der angefochtenen Verfügung aus, die geltend gemachte Vergewaltigung im Jahr 1998 würde im Zeitpunkt der Ausreise bereits weit zurückliegen, weshalb sie nicht als Anlass für die Ausreise gewertet werden könne. Auch sonst würden auf Grund des beurteilten Sachverhalts keinerlei Anhaltspunkte dafür vorliegen, dass die Beschwerdeführerin aus den geltend gemachten Vorkommnissen zum Zeitpunkt der Ausreise noch asylbeachtliche Nachteile zu gewärtigen gehabt hätte. Es bestehe somit zwischen Verfolgung und Flucht in zeitlicher und sachlicher Hinsicht kein Kausalzusammenhang, weshalb den Vorbringen keine Asylrelevanz zukomme.</w:t>
      </w:r>
    </w:p>
    <w:p>
      <w:r>
        <w:rPr>
          <w:b/>
        </w:rPr>
        <w:t>E. 3.3</w:t>
      </w:r>
    </w:p>
    <w:p>
      <w:r>
        <w:t>Die Schlussfolgerungen der Vorinstanz sind weder in tatsächlicher noch in rechtlicher Hinsicht zu beanstanden. In der angefochtenen Verfügung wird einlässlich begründet, weshalb die Vorbringen der Beschwerdeführerin nicht asylrelevant sind. Diese setzt sich mit den Ausführungen der Vorinstanz im Asylpunkt nicht ansatzweise auseinander. So besteht zwischen den von der Beschwerdeführerin geschilderten Ereignissen in den Jahren 1998 und 1999 und ihrer Ausreise im Jahr 2009 weder ein sachlicher noch ein zeitlicher Kausalzusammenhang. Auch ihre Angst, dass sie wieder in den Militärdienst eingezogen werde, muss als unbegründet abgetan werden, zumal sie seit der vorgebrachten Gesetzesänderung und ihrer Ausreise noch vier Jahre in Eritrea gearbeitet hat und sich auch sonst keine Anhaltspunkte für eine nochmalige Rekrutierung der Beschwerdeführerin finden.</w:t>
      </w:r>
    </w:p>
    <w:p>
      <w:r>
        <w:rPr>
          <w:b/>
        </w:rPr>
        <w:t>E. 3.4</w:t>
      </w:r>
    </w:p>
    <w:p>
      <w:r>
        <w:t>Zusammenfassend ist festzuhalten, dass es der Beschwerdeführerin nicht gelungen ist, eine im Zeitpunkt ihrer Ausreise aus Eritrea bestehende oder drohende, asylrechtlich relevante Gefährdung nachzuweisen oder glaubhaft zu machen.</w:t>
      </w:r>
    </w:p>
    <w:p>
      <w:r>
        <w:rPr>
          <w:b/>
        </w:rPr>
        <w:t>E. 4.1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4.2</w:t>
      </w:r>
    </w:p>
    <w:p>
      <w:r>
        <w:t>Die Vorinstanz führt in der angefochtenen Verfügung aus, die Beschwerdeführerin erfülle auch die Flüchtlingseigenschaft nicht. Sie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Die Beschwerdeführerin habe weder den Nationaldienst verweigert, noch sei sie aus dem Nationaldienst desertiert. Sie sei aus medizinischen Gründen aus dem Dienst entlassen worden und es sei aus den Akten nicht ersichtlich, dass sie in absehbarer Zukunft konkret und persönlich für den Militärdienst aufgeboten worden wäre. Sie habe demnach nicht gegen die Proclamation on National Service von 1995 verstossen. Aus den Akten seien auch sonst keine Hinweise zu entnehmen, dass sie bei einer Rückkehr ernsthafte Nachteile zu gewärtigen hätte. Die Vorbringen der Beschwerdeführerin zur illegalen Ausreise aus Eritrea seine deshalb asylrechtlich unbeachtlich.</w:t>
      </w:r>
    </w:p>
    <w:p>
      <w:r>
        <w:rPr>
          <w:b/>
        </w:rPr>
        <w:t>E. 4.3</w:t>
      </w:r>
    </w:p>
    <w:p>
      <w:r>
        <w:t>Die Beschwerdeführerin wendet dagegen ein, sie habe das Land illegal verlassen, was die Vorinstanz nicht bestreite. Eritreische Staatsangehörige, welche das Land illegal verlassen hätten, müssten bei ihrer Rückkehr immer noch mit Strafverfahren wegen Landesverrat und mit Gefängnisstrafen und Folter rechnen. Der Bericht der Vorinstanz (Focus Eritrea) sei nicht geeignet, eine diesbezügliche Praxisänderung zu rechtfertigen. Personen welche Eritrea verliessen, seien deshalb weiterhin als Flüchtlinge anzuerkennen. Selbst bei einer freiwilligen Rückkehr stelle die Weigerung der Entrichtung der Diasporasteuer und der Unterzeichnung des Reueformulars einen subjektiven Nachfluchtgrund dar. Aus diesem Grund sei sie als Flüchtling anzuerkennen.</w:t>
      </w:r>
    </w:p>
    <w:p>
      <w:r>
        <w:rPr>
          <w:b/>
        </w:rPr>
        <w:t>E. 4.4</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(zur Publikation als Referenzurteil vorgesehen)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4.5</w:t>
      </w:r>
    </w:p>
    <w:p>
      <w:r>
        <w:t>Die Frage der Zulässigkeit der Praxisänderung der Vorinstanz bezüglich der flüchtlingsrechtlichen Beurteilung der illegalen Ausreise aus Eritrea ist vom Bundesverwaltungsgericht somit geklärt worden. Es kam zum Schluss, dass allein aufgrund einer illegalen Ausreise keine begründete Furcht vor asylrechtlich beachtlicher Verfolgung angenommen werden könne (vgl. oben E. 4.3). Die Beschwerdeführerin weist neben der illegalen Ausreise keine zusätzlichen Anknüpfungspunkte für eine Verschärfung ihres Profils auf, zumal sie, wie die Vorinstanz zutreffend ausführt, aus medizinischen Gründen aus dem Nationaldienst entlassen wurde und keine Anzeichen dafür bestehen würden, dass sie in absehbarer Zukunft konkret und persönlich für den Militärdienst aufgeboten worden wäre. Es lässt sich deshalb keine asylrechtlich beachtliche Verfolgung annehmen.</w:t>
      </w:r>
    </w:p>
    <w:p>
      <w:r>
        <w:rPr>
          <w:b/>
        </w:rPr>
        <w:t>E. 4.6</w:t>
      </w:r>
    </w:p>
    <w:p>
      <w:r>
        <w:t>Zusammenfassend konnte die Beschwerdeführerin das Vorliegen von subjektiven Nachfluchtgründen nicht nachweisen oder zumindest glaubhaft machen. Die Vorinstanz hat deshalb zu Recht die Flüchtlingseigenschaft der Beschwerdeführerin verneint.</w:t>
      </w:r>
    </w:p>
    <w:p>
      <w:r>
        <w:rPr>
          <w:b/>
        </w:rPr>
        <w:t>E. 5</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7</w:t>
      </w:r>
    </w:p>
    <w:p>
      <w:r>
        <w:t>Bei diesem Ausgang des Verfahrens wären die Kosten der Beschwerdeführerin aufzuerlegen (Art. 63 Abs. 1 VwVG). Da der Antrag auf Gewährung der unentgeltlichen Prozessführung mit Zwischenverfügung vom 4. Oktober 2016 gutgeheissen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