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E-5966/2022 vom 22. November 2022</w:t>
      </w:r>
    </w:p>
    <w:p>
      <w:r>
        <w:t>Bundesverwaltungsgericht, 2022-11-22, DE</w:t>
      </w:r>
    </w:p>
    <w:p>
      <w:r>
        <w:rPr>
          <w:b/>
        </w:rPr>
        <w:t xml:space="preserve">Quelle: </w:t>
      </w:r>
      <w:r>
        <w:t>https://mcp.opencaselaw.ch/entscheid/bvger_E-5966_2022_d20221122</w:t>
      </w:r>
    </w:p>
    <w:p>
      <w:r>
        <w:t>FR: TAF E-5966/2022 du 22 novembre 2022</w:t>
      </w:r>
    </w:p>
    <w:p>
      <w:r>
        <w:t>IT: TAF E-5966/2022 del 22 novembre 2022</w:t>
      </w:r>
    </w:p>
    <w:p>
      <w:pPr>
        <w:pStyle w:val="Heading2"/>
      </w:pPr>
      <w:r>
        <w:t>Regeste</w:t>
      </w:r>
    </w:p>
    <w:p>
      <w:r>
        <w:t>Asyl und Wegweisung | Asyl und Wegweisung; Verfügung des SEM vom 22.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2.1</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w:t>
      </w:r>
    </w:p>
    <w:p>
      <w:r>
        <w:t>E-5966/2022 Seite 5 Einreichung der Beschwerde legitimiert (Art. 105 und Art. 108 Abs. 2 AsylG; Art. 48 Abs. 1 sowie Art. 52 Abs. 1 VwVG). Auf die Be- schwerde ist einzutreten.</w:t>
      </w:r>
    </w:p>
    <w:p>
      <w:r>
        <w:rPr>
          <w:b/>
        </w:rPr>
        <w:t>E. 2.2</w:t>
      </w:r>
    </w:p>
    <w:p>
      <w:r>
        <w:t>Das SEM hat die angefochtene Verfügung teilweise in Wiedererwä- gung gezogen, indem es mit Verfügung vom 21. Februar 2023 feststellte, der Beschwerdeführer erfülle infolge subjektiver Nachfluchtgründe die Flüchtlingseigenschaft (Art. 54 AsylG), weshalb ihm wegen Unzulässigkeit des Wegweisungsvollzugs die vorläufige Aufnahme zu gewähren sei (Art. 83 Abs. 8 AIG[SR 142.20]). Die Beschwerde erweist sich damit hin- sichtlich der Frage des Wegweisungsvollzugs als gegenstandslos. Das vorliegende Verfahren beschränkt sich demzufolge auf die Prüfung der Flüchtlingseigenschaft im Sinne von Vorfluchtgründen, der Asylgewährung gemäss Art. 2 AsylG und der Wegweisung als solcher.</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E-5966/2022 Seite 6</w:t>
      </w:r>
    </w:p>
    <w:p>
      <w:r>
        <w:rPr>
          <w:b/>
        </w:rPr>
        <w:t>E. 5.1</w:t>
      </w:r>
    </w:p>
    <w:p>
      <w:r>
        <w:t>Zur Begründung der angefochtenen Verfügung führte das SEM im We- sentlichen aus, dass das Vorbringen hinsichtlich der Blutrache nicht flücht- lingsrelevant sei und verwies auf die Schutztheorie. Im Falle der Türkei gehe das SEM von einer funktionierenden und effizienten Schutzinfrastruk- tur aus. Ein Beispiel hierfür sei, dass die Cousins der gegnerischen Familie nach der Attacke auf den Bruder des Beschwerdeführers identifiziert und verurteilt worden seien. Weiter habe es der Beschwerdeführer unterlassen, sich an die heimatlichen Behörden zu wenden und um Schutz zu ersuchen. Selbst wenn er sich nicht auf den Schutz der Behörden verlassen könne, sei es ihm zuzumuten in einem anderen Teil der Türkei sicher zu leben. Weiter führt das SEM aus, dass das Vorbringen hinsichtlich staatlicher Er- mittlungen und eines bestehenden Haftbefehls nicht den Anforderungen der Glaubhaftigkeit genüge. Der Beschwerdeführer habe die Informationen nur von Dritten und könne keine geeigneten Beweismittel vorweisen. Zu- dem habe der Beschwerdeführer inkohärente und widersprüchliche Aussa- gen gemacht. Den Orientierungsschreiben seines Anwalts komme kein Be- weiswert zu, da es sich um Gefälligkeitsschreiben handeln könnte, die auch leicht käuflich zu erwerben seien.</w:t>
      </w:r>
    </w:p>
    <w:p>
      <w:r>
        <w:rPr>
          <w:b/>
        </w:rPr>
        <w:t>E. 5.2</w:t>
      </w:r>
    </w:p>
    <w:p>
      <w:r>
        <w:t>Den Erwägungen des SEM wurde in der Rechtsmittelschrift vom 23. Dezember 2021 unter Beilage diverser justizieller Beweismittel im We- sentlichen entgegengehalten, dass die Blutrache eine politische Dimension aufweise, da die Familie des Beschwerdeführers der HDP nahestehe und die verfeindete Familie Dorfschützer seien. Die Ausführungen des Beschwerdeführers zu dem laufenden Ermittlungs- verfahren seien entgegen der Feststellung in der angefochtenen Verfügung glaubhaft. Die Argumentation des SEM beruhe auf etwaigen Missverständ- nissen, die auf sprachlichen Ursachen basierten und das SEM stütze sich auf falsch übersetzte Beweismittel. Der Beschwerdeführer nutze die sozi- alen Medien seit 2014 und äussere dort seine politische Meinung. Der Be- schwerdeführer weise denn auch ein gewisses Gefährdungsprofil auf. Aus den mit der Beschwerdeschrift eingereichten Beweismitteln gehe klar her- vor, dass ein Ermittlungsverfahren gegen den Beschwerdeführer wegen Propaganda für eine terroristische Organisation eingeleitet worden sei. Der Umstand, dass das Ermittlungsverfahren erst nach seiner Ausreise aus der Türkei eingeleitet worden sei und allenfalls Asylausschlussgründe gemäss Art. 54 AsylG begründe, sei auf Beschwerdeebene zu prüfen.</w:t>
      </w:r>
    </w:p>
    <w:p>
      <w:r>
        <w:t>E-5966/2022 Seite 7</w:t>
      </w:r>
    </w:p>
    <w:p>
      <w:r>
        <w:rPr>
          <w:b/>
        </w:rPr>
        <w:t>E. 5.3</w:t>
      </w:r>
    </w:p>
    <w:p>
      <w:r>
        <w:t>Das SEM gelangte mit Verfügung auf Vernehmlassungsstufe vom 21. Februar 2023 zum Schluss, dass der Beschwerdeführer die Flüchtlingsei- genschaft im Sinne von Art. 54 AsylG erfülle. Dies aufgrund seiner Tätig- keiten in den sozialen Medien, welche die türkischen Behörden offenbar veranlasst hätten, nach seiner Ausreise ein Ermittlungs- und Strafverfahren gegen ihn einzuleiten. Die Wegweisung sei daher anzuordnen, deren Voll- zug jedoch als unzulässig zu erachten und der Beschwerdeführer in der Schweiz vorläufig aufzunehmen.</w:t>
      </w:r>
    </w:p>
    <w:p>
      <w:r>
        <w:rPr>
          <w:b/>
        </w:rPr>
        <w:t>E. 6.1</w:t>
      </w:r>
    </w:p>
    <w:p>
      <w:r>
        <w:t>Auf Beschwerdeebene wird die unvollständige Feststellung des Sach- verhalts (vgl. Art. 12 VwVG) gerügt. Diese formelle Rüge ist vorab zu be- handeln, da sie allenfalls zur Kassation der angefochtenen Verfügung füh- ren könnte (vgl. BVGE 2013/34 E. 4.2; KÖLZ/HÄNER/BERTSCHI, Verwal- tungsverfahren und Verwaltungsrechtspflege des Bundes, 3. Aufl. 2013, Rz. 1043 ff. m.w.H.)</w:t>
      </w:r>
    </w:p>
    <w:p>
      <w:r>
        <w:rPr>
          <w:b/>
        </w:rPr>
        <w:t>E. 6.2</w:t>
      </w:r>
    </w:p>
    <w:p>
      <w:r>
        <w:t>In der Rechtsmittelschrift wird gerügt, dass sich die Vorinstanz im Rah- men der Beweismittelwürdigung auf falsche Übersetzungen abgestützt habe, was zu einer falschen Einschätzung der Glaubhaftigkeit geführt habe. Hierzu werden verschiedene Protokollstellen der Erstbefragung be- zeichnet. Die Rügen sind vorliegend vor allem in Bezug auf das Ermittlungsverfah- ren in der Türkei relevant. Auf Vernehmlassungsstufe würdigte das SEM die eingereichten Beweismittel erneut und kam gesamthaft zum Schluss, dass diese flüchtlingsrechtlich relevant sind. Die formellen Rügen sind so- mit gegenstandlos geworden. Dass das SEM zu einer materiell anderen Einschätzung betreffend Vorfluchtgründe gelangt ist, als der Beschwerde- führer begehrt hat, ist eine Frage der materiellen Würdigung.</w:t>
      </w:r>
    </w:p>
    <w:p>
      <w:r>
        <w:rPr>
          <w:b/>
        </w:rPr>
        <w:t>E. 7.1</w:t>
      </w:r>
    </w:p>
    <w:p>
      <w:r>
        <w:t>Das Bundesverwaltungsgericht kommt nach Durchsicht der Akten zum Schluss, dass das SEM zu Recht zur Erkenntnis gelangt ist, das Vorbrin- gen des Beschwerdeführers hinsichtlich der geltend gemachten Blutfehde vermöge den Anforderungen von Art. 3 AsylG nicht zu genügen und dass auf die zutreffenden Erwägungen des SEM verwiesen werden kann. Eine Verfolgung durch nichtstaatliche Dritte – wie sie der Beschwerdefüh- rer geltend macht – ist aufgrund der Subsidiarität des flüchtlingsrechtlichen</w:t>
      </w:r>
    </w:p>
    <w:p>
      <w:r>
        <w:t>E-5966/2022 Seite 8 Schutzes nur dann flüchtlingsrechtlich relevant, wenn die betroffene Per- 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 ell zumutbar ist (vgl. zur sogenannten Schutztheorie: BVGE 2011/51 E. 7). Das Bundesverwaltungsgericht geht in ständiger Praxis von der grundsätz- lichen Schutzfähigkeit und Schutzwilligkeit der türkischen Strafverfolgungs- und Justizbehörden aus (vgl. statt vieler Urteil des BVGer E-150/2024 vom 18. Januar 2024 E. 6.2.1 m.w.H). Der Einwand in der Beschwerde, der Staat sei aufgrund der Nähe der Familie des Beschwerdeführers zur HDP im Konflikt mit der verfeindeten Dorfschützer-Familie nicht schutzwillig, ver- mag an dieser Einschätzung nichts zu ändern. Dieser Einwand stellt zudem eine blosse Mutmassung dar, da aus den Akten nicht hervorgeht, dass der Beschwerdeführer vor der Ausreise den Schutz des Staates beantragt hat. Ohnehin kann keine Garantie für einen langfristigen individuellen Schutz vor nichtstaatlicher Verfolgung verlangt werden, gelingt es doch keinem Staat, jederzeit und überall die absolute Sicherheit seiner Bürgerinnen und Bürger zu gewährleisten (vgl. Urteil des BVGer D-2738/2024 vom 20. Au- gust 2024 S. 4 m.w.H.). Es gelingt dem Beschwerdeführer somit nicht die Flüchtlingseigenschaft zum Zeitpunkt vor seiner Ausreise aufgrund einer Verfolgung im Rahmen einer familiären Blutfehde nachzuweisen, weshalb die Vorinstanz das Asylgesuch in diesem Punkt zu Recht abgelehnt hat. Eine allfällige, zukünftig nicht mehr mögliche, Inanspruchnahme des Schutzes des türkischen Staates ist auf das Verhalten des Beschwerde- führers nach Verlassen seines Heimatstaates zurückzuführen und deshalb nicht asylrelevant.</w:t>
      </w:r>
    </w:p>
    <w:p>
      <w:r>
        <w:rPr>
          <w:b/>
        </w:rPr>
        <w:t>E. 7.2</w:t>
      </w:r>
    </w:p>
    <w:p>
      <w:r>
        <w:t>Weiter ist, wie in der Beschwerdeschrift richtigerweise erwähnt, zu prü- fen, ob das Vorbringen bezüglich des hängigen Ermittlungsverfahrens in der Türkei eine Vorverfolgung darstellt und somit asylrelevant ist oder die Voraussetzungen für subjektive Nachfluchtgründe im Sinne von Art. 54 AsylG erfüllt sind. Ausgangspunkt für die Beurteilung der Flüchtlingseigenschaft ist die Frage nach der im Zeitpunkt der Ausreise vorhandenen Verfolgung oder der be- gründeten Furcht vor einer solchen. Die Situation im Zeitpunkt des Asylent- scheids ist jedoch im Rahmen der Prüfung der Aktualität der Verfolgungs- furcht ebenfalls wesentlich. Veränderungen der objektiven Situation im Hei- matstaat zwischen Ausreise und Asylentscheid sind deshalb zugunsten</w:t>
      </w:r>
    </w:p>
    <w:p>
      <w:r>
        <w:t>E-5966/2022 Seite 9 und zulasten der das Asylgesuch stellenden Person zu berücksichtigen (vgl. zum Ganzen BVGE 2011/51 E. 6, 2011/50 E. 3.1.1 und 3.1.2, 2010/57 E. 2, 2008/34 E. 7.1, 2008/12 E. 5.2 und 2008/4 E. 5.2). Wie die Vorinstanz in der Verfügung vom 21. Februar 2023 richtigerweise festgehalten hat, wird in dem Schreiben der Polizeigeneraldirektion resp. des Gouverneursamts der Stadt Koaceli vom 22. Juli 2022 festgehalten, dass die türkischen Behörden erst am 20. Juli 2022 im Rahmen einer vir- tuellen Patrouillenaktivität auf die Beiträge des Beschwerdeführers auf Twitter aufmerksam wurden. Der Beschwerdeführer reiste jedoch bereits am 3. Juni 2022 legal aus der Türkei aus, was in dem Schreiben ebenfalls ersichtlich ist. Im Schreiben des Büros des Hauptstaatsanwalts von Bakir- köy vom 18. Oktober 2022 wird ebenfalls auf den Forschungsbericht zu den Twitter-Aktivitäten des Beschwerdeführers vom 20. Juli 2022 verwie- sen. Es ist demnach festzustellen, dass die türkischen Behörden zum Zeit- punkt seiner Ausreise am 3. Juni 2022 noch keine Kenntnisse von seinen Aktivitäten auf Social-Media hatten und das Ermittlungsverfahren nach- weislich erst nach seiner Ausreise eingeleitet wurde.</w:t>
      </w:r>
    </w:p>
    <w:p>
      <w:r>
        <w:rPr>
          <w:b/>
        </w:rPr>
        <w:t>E. 7.3</w:t>
      </w:r>
    </w:p>
    <w:p>
      <w:r>
        <w:t>Von einer Vorverfolgung des Beschwerdeführers im Ausreisezeitpunkt kann demnach nicht gesprochen werden, weshalb von subjektiven Nach- fluchtgründen auszugehen ist.</w:t>
      </w:r>
    </w:p>
    <w:p>
      <w:r>
        <w:rPr>
          <w:b/>
        </w:rPr>
        <w:t>E. 8</w:t>
      </w:r>
    </w:p>
    <w:p>
      <w:r>
        <w:t>Insgesamt ergeben sich demzufolge keine konkreten Hinweise darauf, dass der Beschwerdeführer zum Zeitpunkt seiner Ausreise von flüchtlings- rechtlich relevanten Verfolgungsmassnahmen im Sinne von Art. 3 AsylG betroffen war oder solche objektiv zu befürchten hatte. Die Vorinstanz hat deshalb zu Recht die Flüchtlingseigenschaft mangels Vorfluchtgründen im Sinne von Art. 3 AsylG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(vgl. BVGE 2013/37 E. 4.4; 2009/50 E. 9, je m.w.H.).</w:t>
      </w:r>
    </w:p>
    <w:p>
      <w:r>
        <w:t>E-5966/2022 Seite 10</w:t>
      </w:r>
    </w:p>
    <w:p>
      <w:r>
        <w:rPr>
          <w:b/>
        </w:rPr>
        <w:t>E. 9.3</w:t>
      </w:r>
    </w:p>
    <w:p>
      <w:r>
        <w:t>Nachdem das SEM den Beschwerdeführer mit der angefochtenen Ver- fügung wegen subjektiver Nachfluchtgründe als Flüchtling wegen Unzuläs- sigkeit des Wegweisungsvollzugs in der Schweiz vorläufig aufgenommen hat, stellt sich die Frage nach allfälligen Vollzugshindernissen nicht.</w:t>
      </w:r>
    </w:p>
    <w:p>
      <w:r>
        <w:rPr>
          <w:b/>
        </w:rPr>
        <w:t>E. 10</w:t>
      </w:r>
    </w:p>
    <w:p>
      <w:r>
        <w:t>Aus diesen Erwägungen ergibt sich, dass soweit das Asylgesuch des Be- schwerdeführers abgelehnt wurde, die angefochtene Verfügung Bundes- recht nicht verletzt, den rechtserheblichen Sachverhalt richtig sowie voll- ständig feststellt (Art. 106 Abs. 1 AsylG) und auch sonst nicht zu beanstan- den ist. Die Beschwerde ist – soweit sie nicht abzuschreiben ist – abzuwei- sen.</w:t>
      </w:r>
    </w:p>
    <w:p>
      <w:r>
        <w:rPr>
          <w:b/>
        </w:rPr>
        <w:t>E. 11.1</w:t>
      </w:r>
    </w:p>
    <w:p>
      <w:r>
        <w:t>Bei diesem Ausgang des Beschwerdeverfahrens wären dem Be- schwerdeführer im Verhältnis des Grades seines Unterliegens (zur Hälfte) die Verfahrenskosten aufzuerlegen (Art. 63 Abs. 1 VwVG). Da ihm jedoch mit Verfügung vom 17. Januar 2023 die unentgeltliche Prozessführung ge- währt wurde und er aufgrund der Akten nach wie vor als bedürftig zu er- achten ist, sind keine Verfahrenskosten aufzuerlegen.</w:t>
      </w:r>
    </w:p>
    <w:p>
      <w:r>
        <w:rPr>
          <w:b/>
        </w:rPr>
        <w:t>E. 11.2</w:t>
      </w:r>
    </w:p>
    <w:p>
      <w:r>
        <w:t>Soweit die Vorinstanz teilweise auf ihre Verfügung zurückgekommen ist, hat der Beschwerdeführer Anspruch auf eine – praxisgemäss um die Hälfte zu reduzierende – Parteientschädigung für die ihm erwachsenen notwendigen Kosten, die vom SEM auszurichten ist (Art. 64 Abs. 1 VwVG, Art. 15 i.V.m. Art. 5 und Art. 7 Abs. 1 und 4 des Reglements vom 21. Feb- ruar 2008 über die Kosten und Entschädigungen vor dem Bundesverwal- tungsgericht [VGKE, SR 173.320.2]). Seitens der Rechtsvertretung wurde zusammen mit der Beschwerde vom 23. Dezember 2022 eine Kostennote eingereicht. Darin wird ein zeitlicher Aufwand von 12 Stunden mit einem Stundenansatz von Fr. 180.– geltend gemacht. Zudem werden Auslagen von insgesamt Fr. 54.– plus Mehrwert- steuer geltend gemacht. Im Nachgang wurden sodann weitere Eingaben (Beweismittel, Ermittlungsakten im türkischen Strafverfahren) dem Gericht übermittelt, indes keine aktualisierte Kostennote mehr eingereicht. Der ent- sprechende notwendige Vertretungsaufwand für das vorliegende Verfah- ren lässt sich indes aufgrund der Aktenlage zuverlässig abschätzen, wes- halb auf die Einholung einer aktualisierten Kostennote verzichtet wird (Art. 14 Abs. 2 in fine VGKE).</w:t>
      </w:r>
    </w:p>
    <w:p>
      <w:r>
        <w:t>E-5966/2022 Seite 11 Die von der Vorinstanz dem Beschwerdeführer auszurichtende (und um die Hälfte reduzierte) Parteientschädigung wird aufgrund der erwähnten Kos- tennote sowie gestützt auf die in Betracht zu ziehenden Bemessungsfak- toren (Art. 9-13 VGKE) auf insgesamt Fr. 1314.– (inkl. Mehrwertsteuerzu- schlag im Sinne von Art. 9 Abs. 1 Bst. c VGKE) festgesetzt.</w:t>
      </w:r>
    </w:p>
    <w:p>
      <w:r>
        <w:rPr>
          <w:b/>
        </w:rPr>
        <w:t>E. 11.3</w:t>
      </w:r>
    </w:p>
    <w:p>
      <w:r>
        <w:t>Für den Umfang des Unterliegens (zur Hälfte), ist der Rechtsvertre- tung zudem ein Honorar für die amtliche Verbeiständung zuzusprechen. Für die amtliche Vertretung, die wie vorliegend nicht durch einen Rechts- anwalt erfolgt ist, wird – wie in der Verfügung vom 17. Januar 2023 erwähnt – praxisgemäss in der Regel von einem Stundenansatz von Fr. 100.– bis Fr. 150.– ausgegangen (vgl. Art. 12 i.V.m. Art. 10 Abs. 2 VGKE). Der in der Kostennote vom 17. Januar 2023 verrechnete Stundenansatz von Fr. 180.– ist diesbezüglich entsprechend auf Fr. 150.– zu reduzieren. Der amtlich bestellten Rechtsvertretung ist demnach zu Lasten des Bun- desverwaltungsgerichts ein Honorar von insgesamt Fr. 1050.– (inkl. Mehr- wertsteuerzuschlag im Sinne von Art. 9 Abs. 1 Bst. c VGKE) zuzusprechen.</w:t>
      </w:r>
    </w:p>
    <w:p>
      <w:r>
        <w:t>(Dispositiv nächste Seite)</w:t>
      </w:r>
    </w:p>
    <w:p>
      <w:r>
        <w:t>E-5966/2022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