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E-5966/2016 vom 9. November 2016</w:t>
      </w:r>
    </w:p>
    <w:p>
      <w:r>
        <w:t>Bundesverwaltungsgericht, 2016-11-09, DE</w:t>
      </w:r>
    </w:p>
    <w:p>
      <w:r>
        <w:rPr>
          <w:b/>
        </w:rPr>
        <w:t xml:space="preserve">Quelle: </w:t>
      </w:r>
      <w:r>
        <w:t>https://mcp.opencaselaw.ch/entscheid/bvger_E-5966_2016</w:t>
      </w:r>
    </w:p>
    <w:p>
      <w:r>
        <w:t>FR: TAF E-5966/2016 du 9 novembre 2016</w:t>
      </w:r>
    </w:p>
    <w:p>
      <w:r>
        <w:t>IT: TAF E-5966/2016 del 9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Der Beschwerdeführer vermag keine subjektiven Nachfluchtgründe geltend zu machen. Die vorgebrachte exilpolitische Tätigkeit erreicht kein Ausmass, das zu einer Gefährdung im Heimatstaat zu führen vermöchte. Die Vorinstanz stellt zutreffend fest, es sei dem Beschwerdeführer im Rahmen seines ersten Asylverfahrens nicht gelungen, Vorfluchtgründe glaubhaft darzulegen. Es könne mithin ausgeschlossen werden, dass er aufgrund früherer politischer Aktivitäten erhöhter Aufmerksamkeit der sri-lankischen Behörden ausgesetzt sei. Die nun geltend gemachten exilpolitischen Aktivitäten und die eingereichten Unterlagen würden nicht ansatzweise auf ein exponiertes Profil hinweisen. Die Beweismittel würden lediglich darauf hindeuten, dass der Beschwerdeführer ohne besondere Aufgaben an einer Demonstration in Genf als Mitläufer teilgenommen habe. Es sei auszuschliessen, dass diese einmalige Demonstrationsteilnahme ein Verfolgungsinteresse ausgelöst habe. Die Beschwerde wendet hiergegen nichts Stichhaltiges ein. Sie erschöpft sich vielmehr in Wiederholungen des bereits bekannten Sachverhalts und in Aufzählungen der Praxis des Bundesverwaltungsgerichts, womit sie nicht aufzeigt, inwiefern die vorinstanzliche Beweiswürdigung Bundesrecht verletzen oder zu einer rechtsfehlerhaften Sachverhaltsfeststellung führen soll. Solches ist auch nicht ersichtlich. Die Vorinstanz hat richtig erkannt, dass angesichts des gut aufgestellten Nachrichtendienstes Sri Lankas praxisgemäss davon ausgegangen wird, dass die sri-lankischen Behörden blosse "Mitläufer" von Massenveranstaltungen als solche erkennen und diese in Sri Lanka nicht als Gefahr wahrgenommen werden (Urteil des BVGer E-1866/2015 vom 15. Juli 2016 E. 8.5.4, als Referenzurteil publiziert). Die beiden auf Beschwerdeebene eingereichten Schreiben sind nicht geeignet, am Beweisergebnis etwas zu ändern (zu den unglaubhaften Vorfluchtgründen des Beschwerdeführers bereits Urteil des BVGer E-2969/2915 vom 26. Oktober 2015). Schliesslich vermögen die sogenannten schwachen Risikofaktoren (z. B. illegale Ausreise beziehungsweise zwangsweise Rückführung, keine gültigen Identitätsdokumente) vorliegend für sich alleine keine relevante Furcht vor ernsthaften Nachteilen im Sinne von Art. 3 AsylG zu begründen (zu den sog. Risikofaktoren siehe Urteil des BVGer E-1866/2015 vom 15. Juli 2016, als Referenzurteil publiziert). Hieran vermag der auf Beschwerdeebene ins Recht gelegte Kurzbericht der SFH nichts zu ändern. Um Wiederholungen zu vermeiden, ist auf die zutreffenden Ausführungen der Vorinstanz zu verwiesen, die zu Recht die Flüchtlingseigenschaft verneint und auch das zweite Asylgesuch abgelehnt hat.</w:t>
      </w:r>
    </w:p>
    <w:p>
      <w:r>
        <w:rPr>
          <w:b/>
        </w:rPr>
        <w:t>E. 5.1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5.2</w:t>
      </w:r>
    </w:p>
    <w:p>
      <w:r>
        <w:t>Es sind den Akten keine Anhaltspunkte zu entnehmen, die einen anderen Schluss in Bezug auf die verfügte Wegweisung des Beschwerdeführers zuliessen. Die Beschwerdeausführungen sind fehlerhaft und nicht geeignet, hieran etwas zu ändern. So liegt beispielsweise Ariyalai beziehungsweise der Distrikt Jaffna nicht - wie auf Beschwerdeebene behauptet - im Vanni-Gebiet ("Distrikt Jaffna im Vanni-Gebiet", Beschwerde S. 2) und stellt die einmalige Demonstrationsteilnahme als "Mitläufer" in Genf kein Wegweisungshindernis dar (hierzu E. 4). Das Bundesverwaltungsgericht hat sich bereits mit Urteil E-2969/2015 vom 26. Oktober 2015 ausführlich zum Vollzug der Wegweisung des jungen sowie gesunden Beschwerdeführers mit höchstem Schulabschluss (A-Levels) auseinandergesetzt und kam zum Schluss, der Wegweisungsvollzug sei zulässig, zumutbar und möglich (E. 7). Hierauf ist zu verweisen. Die Anordnung einer vorläufigen Aufnahme fällt ausser Betracht (Art. 83 Abs. 1-4 AuG).</w:t>
      </w:r>
    </w:p>
    <w:p>
      <w:r>
        <w:rPr>
          <w:b/>
        </w:rPr>
        <w:t>E. 6</w:t>
      </w:r>
    </w:p>
    <w:p>
      <w:r>
        <w:t>Aus diesen Erwägungen ergibt sich, dass die angefochtene Verfügung Bundesrecht nicht verletzt und auch sonst nicht zu beanstanden ist (Art. 106 AsylG und Art. 49 VwVG). Die Beschwerde ist abzuweisen.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Der einbezahlte Kostenvorschuss in Höhe von Fr. 600.- wird zur Bezahlung der Verfahrenskosten verwendet. Die Gesuche um Gewährung der unentgeltlichen Prozessführung und Verbeiständung wurden bereits mit Zwischenverfügung vom 5. Oktober 2016 abgewiesen.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