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E-5966/2009 vom 28. Oktober 2009</w:t>
      </w:r>
    </w:p>
    <w:p>
      <w:r>
        <w:t>Bundesverwaltungsgericht, 2009-10-28, DE</w:t>
      </w:r>
    </w:p>
    <w:p>
      <w:r>
        <w:rPr>
          <w:b/>
        </w:rPr>
        <w:t xml:space="preserve">Quelle: </w:t>
      </w:r>
      <w:r>
        <w:t>https://mcp.opencaselaw.ch/entscheid/bvger_E-5966_2009</w:t>
      </w:r>
    </w:p>
    <w:p>
      <w:r>
        <w:t>FR: TAF E-5966/2009 du 28 octobre 2009</w:t>
      </w:r>
    </w:p>
    <w:p>
      <w:r>
        <w:t>IT: TAF E-5966/2009 del 28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BFM hat am 18. September 2009 zwei Verfügungen erlassen, eine betreffend den Beschwerdeführer und eine betreffend dessen Ex-Ehefrau sowie den gemeinsamen Kindern. Im Rechtsbegehren beantragt der Rechtsanwalt die Aufhebung der vorinstanzlichen Verfügung. Als Beilage reichte er die Verfügung betreffend den Beschwerdeführer ein. Weiter beantragt er, den Beschwerdeführern sei Asyl zu gewähren. Unter "Formelles" spricht der Rechtsvertreter von den Beschwerdeführern, in der Beschwerdebegründung demgegenüber vom Beschwerdeführer. Vor diesem Hintergrund und insbesondere in Anbetracht dessen, dass es sich beim Rechtsvertreter des Beschwerdeführers um einen professionellen Rechtsanwalt handelt, von welchem eine in sich stimmige Rechtsschrift ohne weiteres erwartet werden kann, erachtet das Bundesverwaltungsgericht nur die Verfügung des BFM betreffend den Beschwerdeführer als Anfechtungsobjekt des vorliegenden Rechtsmittelverfahrens.</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die Vorbringen des Beschwerdeführers weder den Anforderungen an das Glaubhaftmachen gemäss Art. 7 AsylG noch denjenigen an die Flüchtlingseigenschaft gemäss Art. 3 AsylG genügten. Zu Art. 7 AsylG führte es aus, gemäss der Mitteilung der Schweizerischen Vertretung in Pristina seien der Ex-Ehefrau des Beschwerdeführers seit dem Zeitpunkt der angeblichen Vergewaltigungen zahlreiche Visa für Besuche in der Schweiz ausgestellt worden. Wäre die Ex-Frau tatsächlich in der vom Beschwerdeführer geltend gemachten Weise verfolgt worden, hätte sie anlässlich dieser zahlreichen Besuche in der Schweiz erwartungsgemäss um Asyl ersucht. Da sie dies nicht getan habe, würden erhebliche Zweifel an der Glaubhaftigkeit ihrer Vorbringen bestehen. Diese würden weiter dadurch bestätigt, dass der Beschwerdeführer gemäss seinen Angaben Mitte 2004 von den Übergriffen erfahren habe. Demgegenüber habe die Betroffene zu Protokoll gegeben, zweimal im Jahre 2005 vergewaltigt worden zu sein. Zu Art. 3 AsylG führte das BFM aus, es sei nicht abzustreiten, dass es in den ersten Jahren nach dem Krieg im Kosovo im Jahre 1999 vereinzelt zu schwerwiegenden Übergriffen auf Angehörige von ethnischen Minderheiten gekommen sei. Von solchen Übergriffen seien auch Angehörige der slawischen Minderheit (Torbes) betroffen gewesen. In den zehn vergangenen Jahren habe sich indes die Lage im Kosovo stark verändert. Am 17. Februar 2008 habe der Kosovo die Unabhängigkeit erklärt. Gemäss der neuen kosovarischen Verfassung, die am 15. Juni 2008 in Kraft getreten sei, sei auch nach dem Statuswechsel eine internationale zivile und militärische Präsenz vorgesehen. Im Kosovo würden mit der UNMIK und der EU zwei internationale Missionen bestehen. Die am 9. Dezember 2008 offiziell gestartete EULEX-Mission sei formal den Vereinten Nationen unterstellt und werde unter deren Oberhoheit und innerhalb eines statusneutralen Rahmens geführt. Die EULEX-Mission umfasse Polizisten, Richter, Staatsanwälte und Strafvollzugsbeamte. Die internationalen Sicherheitskräfte sowie die Kosovo Police würden die Sicherheit garantieren und seien weitgehend in der Lage, die ethnischen Minderheiten im Kosovo zu schützen. Bei Übergriffen würden die Sicherheitskräfte regelmässig intervenieren und bei Straftaten gegenüber Angehörigen von Minderheiten würden Ermittlungen aufgenommen. Zentrale Polizeifunktionen würden weiterhin von internationalen Polizeikräften wahrgenommen. Die neue kosovarische Verfassung gestehe den Minderheiten umfassende Rechte zu. Bei dieser Sachlage sei vom Vorhandensein eines adäquaten Schutzes durch den Heimatstaat auszugehen, mithin seien die vom Beschwerdeführer befürchteten Übergriffe nicht asylrelevant.</w:t>
      </w:r>
    </w:p>
    <w:p>
      <w:r>
        <w:rPr>
          <w:b/>
        </w:rPr>
        <w:t>E. 5.2</w:t>
      </w:r>
    </w:p>
    <w:p>
      <w:r>
        <w:t>In der Rechtsmitteleingabe hält der Beschwerdeführer daran fest, er habe seine Vorbringen glaubhaft im Sinne von Art. 7 AsylG dargelegt. Es würden keine Begründungslücken vorliegen. Aufgrund des aktenkundigen Sachverhalts und der Gerichtspraxis sei die Flüchtlingseigenschaft überwiegend wahrscheinlich. Mit den wenigen und sich nicht auf die angefochtene Verfügung beziehenden Ausführungen sowie insbesondere dem blossen Festhalten an der Glaubhaftigkeit der Aussagen legt der Beschwerdeführer in der Rechtsmitteleingabe in keiner Weise substanziiert dar, inwiefern das BFM zu Unrecht auf Unglaubhaftigkeit geschlossen hat, beziehungsweise zu Unrecht das Vorliegen der Flüchtlingseigenschaft verneint hat. Um Wiederholungen zu vermeiden kann vorliegend vollumfänglich auf die zutreffenden Erwägungen in der angefochtenen Verfügung verwiesen werden. Es ist somit festzustellen, dass der Beschwerdeführer keine Gründe nach Art. 3 AsylG glaubhaft machen oder nachweisen konnte. Die Vorinstanz hat demnach das Asylsgesuch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Kosovo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Die ARK als Vorgängerorganisation des Bundesverwaltungsgerichts hat sich in EMARK 2002 Nr. 22 ausführlich zur Situation der slawischen Muslime (Bosniaken, Gorani, Torbes) im Kosovo geäussert. Die damals vorgenommene Einschätzung hat grundsätzlich auch heute noch ihre Gültigkeit. Hinzu kommt aber, dass sich nach den Erkenntnissen des Bundesverwaltungsgerichts die Sicherheitslage für die Angehörigen der slawischen Minderheiten in den vergangenen sieben Jahre weiter verbessert hat. Die Spannungen mit den Kosovoalbanern konnten weitergehend abgebaut werden, die Bewegungsfreiheit der slawischen Muslime ist gewährleistet, ebenso der Zugang zu Schulen sowie medizinischen Versorgungseinrichtungen. Nach wie vor ist jedoch die wirtschaftliche Situation sowie die Arbeitsmarktlage für die Angehörigen aller Ethnien als eher schwierig zu bezeichnen. Dennoch und trotz allenfalls auftretender Benachteiligungen erachtet das Bundesverwaltungsgericht den Vollzug der Wegweisung für die slawische Muslime aus dem Kosovo, die ihren letzten Wohnsitz vor der Ausreise in den Bezirken Dragash, Prizren, Gjakovë oder Pejë hatten, als zumutbar. Das Bundesverwaltungsgericht trägt aber der besonderen Situation der Angehörigen der slawischen Muslime dadurch Rechnung, dass es die Beurteilung der Zumutbarkeit des Vollzugs im Einzelfall nach den Regeln der Individualprüfung vornimmt, wobei Unzumutbarkeit anzunehmen ist, wenn sich aus der persönlichen Situation ein zusätzliches - das heisst über die schwierige Alltagslage der slawischen Muslime hinausgehendes - individuelles Gefährdungsindiz ergibt. Zusätzliche Indizien können sich zum Beispiel aus dem fehlenden Beziehungsnetz, der beruflichen oder familiären Situation oder wegen gesundheitlicher Schwierigkeiten ergeben.</w:t>
      </w:r>
    </w:p>
    <w:p>
      <w:r>
        <w:rPr>
          <w:b/>
        </w:rPr>
        <w:t>E. 7.4.3</w:t>
      </w:r>
    </w:p>
    <w:p>
      <w:r>
        <w:t>Der Beschwerdeführer gehört der Ethnie der slawischen Muslime (Torbesh) an und hatte vor der Ausreise seinen letzten Wohnsitz in Prizren, Bezirk Prizren. Demnach ist der Vollzug der Wegweisung grundsätzlich zumutbar. Gemäss den Aussagen der geschiedenen und in Prizren lebenden Ehefrau des Beschwerdeführers anlässlich der Befragung in der Schweizerischen Vertretung haben sie und der Beschwerdeführer sich nur scheiden lassen, damit sie und die Kinder in Ruhe im Kosovo leben können. Dementsprechend gab die geschiedene Ehefrau auch zu Protokoll, dass sie und der Beschwerdeführer nach wie vor eine Beziehung miteinander hätten (vgl. B13, S. 3 und S. 9). Weiter ist den Akten zu entnehmen, dass die beiden zwischenzeitlich erwachsenen Kinder des Beschwerdeführers, seine Mutter (vgl. B13, S. 3), mehrere Tanten (vgl. B21, S. 9) sowie die Eltern und Geschwister der Ex-Ehefrau des Beschwerdeführers in Prizren leben. Insoweit verfügt der Beschwerdeführer an seinem Herkunftsort über ein bestehendes soziales Beziehungsnetz. Auch steht dem Beschwerdeführer bei einer Rückkehr in den Kosovo eine Wohnmöglichkeit offen. Gemäss den Angaben der geschiedenen Ehefrau leben sie und die beiden Kinder in einem ihnen von einer in Deutschland lebenden Person überlassenen Haus (vgl. B21, S. 8). Weiter sind die Eltern des Beschwerdeführers im Besitze eines eigenen Hauses in Prizren, welches gemäss den Angaben der geschiedenen Ehefrau leer steht, da sich die Eltern und ein Bruder in Deutschland aufhalten würden (vgl. B21, S. 9). Was die wirtschaftliche Situation des Beschwerdeführers anbelangt, so ist er gemäss seinen eigenen Angaben ausgebildeter (...) und hat vor seiner Ausreise aus dem Kosovo, während seines Aufenthalts in Deutschland sowie hier in der Schweiz auf seinem Beruf gearbeitet. Der heute (..)-jährige Beschwerdeführer verfügt demnach über langjährige Arbeits- und Berufserfahrungen. Im Übrigen ist nicht auszuschliessen, dass der Beschwerdeführer von seiten der Familie seiner geschiedenen Ehefrau finanzielle Unterstützung erhalten oder ihm eine Anstellung angeboten wird, ist doch der Vater der Ex-Ehefrau des Beschwerdeführers Besitzer einer (...) im Kosovo. Bei dieser Sachlage ist davon auszugehen, dass der Beschwerdeführer bei einer Rückkehr mit Hilfe seiner Angehörigen vor Ort, aber auch mit Unterstützung seiner in Deutschland lebenden Eltern und seines Bruders eine eigene Existenz aufbauen kann. Auch wenn die Arbeitssituation im Kosovo schwierig ist, ist nicht von vornherein auszuschliessen, dass der Beschwerdeführer bei einer Rückkehr eine Anstellung finden wird. Blosse soziale und wirtschaftliche Schwierigkeiten, wie namentlich der Mangel an Wohnungen und Arbeitsstellen, stellen jedenfalls nach der weiterhin zutreffenden und gültigen Rechtsprechung der ARK auch für das Bundesverwaltungsgericht keine existenzbedrohende Situation dar, welche den Vollzug der Wegweisung in den Heimatstaat eines betroffenen Ausländers als unzumutbar erscheinen liesse (EMARK 1994 Nr. 19 E. 6b, EMARK 2005 Nr. 24 E. 10.1 S. 215). Weitergehend sind den Akten keine Anhaltspunkte zu entnehmen, wonach es dem Beschwerdeführer nicht zuzumuten wäre, in den Kosovo zurückzukehren.</w:t>
      </w:r>
    </w:p>
    <w:p>
      <w:r>
        <w:rPr>
          <w:b/>
        </w:rPr>
        <w:t>E. 7.4.4</w:t>
      </w:r>
    </w:p>
    <w:p>
      <w:r>
        <w:t>Insgesamt erweist sich Vollzug der Wegweisung somit auch als zumutbar.</w:t>
      </w:r>
    </w:p>
    <w:p>
      <w:r>
        <w:rPr>
          <w:b/>
        </w:rPr>
        <w:t>E. 7.5</w:t>
      </w:r>
    </w:p>
    <w:p>
      <w:r>
        <w:t>Es obliegt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von Fr. 600.-- dem Beschwerdeführer aufzuerlegen (Art. 63 Abs. 1 und 5 VwVG) und mit dem am 12. Oktober 2009 geleisteten Kostenvorschuss in gleicher Höhe zu verrechnen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