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E-5964/2018 vom 11. September 2020</w:t>
      </w:r>
    </w:p>
    <w:p>
      <w:r>
        <w:t>Bundesverwaltungsgericht, 2020-09-11, DE</w:t>
      </w:r>
    </w:p>
    <w:p>
      <w:r>
        <w:rPr>
          <w:b/>
        </w:rPr>
        <w:t xml:space="preserve">Quelle: </w:t>
      </w:r>
      <w:r>
        <w:t>https://mcp.opencaselaw.ch/entscheid/bvger_E-5964_2018</w:t>
      </w:r>
    </w:p>
    <w:p>
      <w:r>
        <w:t>FR: TAF E-5964/2018 du 11 septembre 2020</w:t>
      </w:r>
    </w:p>
    <w:p>
      <w:r>
        <w:t>IT: TAF E-5964/2018 del 11 settembre 2020</w:t>
      </w:r>
    </w:p>
    <w:p>
      <w:pPr>
        <w:pStyle w:val="Heading2"/>
      </w:pPr>
      <w:r>
        <w:t>Regeste</w:t>
      </w:r>
    </w:p>
    <w:p>
      <w:r>
        <w:t>Vollzug der Wegweisung</w:t>
      </w:r>
    </w:p>
    <w:p>
      <w:pPr>
        <w:pStyle w:val="Heading2"/>
      </w:pPr>
      <w:r>
        <w:t>Erwägungen</w:t>
      </w:r>
    </w:p>
    <w:p>
      <w:r>
        <w:rPr>
          <w:b/>
        </w:rPr>
        <w:t>E. 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3.1</w:t>
      </w:r>
    </w:p>
    <w:p>
      <w:r>
        <w:t>Gegenstand des vorliegenden Verfahrens bildet lediglich der Vollzug der Wegweisung. In der Ergänzung zur Beschwerdeschrift präzisierten die Beschwerdeführenden ihre Rechtsbegehren dahingehend, als lediglich an der Feststellung der Unzulässigkeit und Unzumutbarkeit des Wegweisungsvollzugs festgehalten werde, da den geltend gemachten Nachteilen kein asylrelevantes Motiv zugrunde liege (vgl. Eingabe vom 7. März 2019 S. 9 Ziff. 4.2.9). Demnach sind die Flüchtlingseigenschaft, der Asylpunkt sowie die verfügte Wegweisung in Rechtskraft erwachsen (Dispositivziffern 1 bis 3 der angefochtenen Verfügung).</w:t>
      </w:r>
    </w:p>
    <w:p>
      <w:r>
        <w:rPr>
          <w:b/>
        </w:rPr>
        <w:t>E. 3.2</w:t>
      </w:r>
    </w:p>
    <w:p>
      <w:r>
        <w:t>Die Kognition des Bundesverwaltungsgerichts und die zulässigen Rügen richten sich im Bereich des Ausländerrechts nach Art. 49 VwVG (vgl. BVGE 2014/26 E. 5).</w:t>
      </w:r>
    </w:p>
    <w:p>
      <w:r>
        <w:rPr>
          <w:b/>
        </w:rPr>
        <w:t>E. 4</w:t>
      </w:r>
    </w:p>
    <w:p>
      <w:r>
        <w:t>Zunächst ist auf die formellen Rügen der Beschwerdeführenden einzugehen, da diese bei berechtigtem Vorbringen zur Kassation der angefochtenen Verfügung führen würden.</w:t>
      </w:r>
    </w:p>
    <w:p>
      <w:r>
        <w:rPr>
          <w:b/>
        </w:rPr>
        <w:t>E. 5.1</w:t>
      </w:r>
    </w:p>
    <w:p>
      <w:r>
        <w:t>Die Beschwerdeführenden rügen eine unvollständige Feststellung des rechtserheblichen Sachverhaltes. Bereits vorhandene, aber der Vorinstanz zum Entscheidzeitpunkt noch nicht zugängliche Beweismittel seien nicht in die Beurteilung miteinbezogen worden. Die in Aussicht gestellten Beweismittel (Identitätskarten, Nationalitätenausweise der Beschwerdeführenden, Geburtsurkunden der Kinder, Eheschein, Führerschein Beschwerdeführer, Leumundsinformationskarte, Lebensmittelrationskarte, Beschwerdeschreiben an den Untersuchungsrichter, Anzeige, Gerichtsurteil) seien der Vorinstanz erst am 24. Oktober 2018 zugegangen, weshalb diese für die Entscheidfindung nicht hätten berücksichtigt werden können. Diese nun auf Beschwerdeebene vorliegenden Beweismittel seien geeignet, die Vorbringen zu belegen und hätten Einfluss auf die Beurteilung des Wegweisungsvollzugs.</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Wie die Beschwerdeführenden zutreffend feststellen, konnten die vorstehend aufgeführten Beweismittel und die dazugehörigen Dokumentenanalysen in der angefochtenen Verfügung nicht berücksichtigt werden, da diese erst nach deren Ergehen bei der Vorinstanz eingetroffen sind. Die genannten Beweismittel wurden der Vorinstanz von der Eidgenössische Zollverwaltung (EZV) am 24. Oktober 2018 zusammen mit den Dokumentenanalysen übermittelt, mithin rund drei Wochen nach Ergehen der vorinstanzlichen Verfügung und anschliessend dem Gericht zum hängigen Beschwerdeverfahren weitergeleitet. Mit Zwischenverfügung vom 22. April 2020 wies die Instruktionsrichterin die Vorinstanz an, den Beschwerdeführenden den wesentlichen Inhalt der Dokumentenanalysen offenzulegen sowie Einsicht in die Aktenstücke A22/7 und A23/2 zu gewähren, und gab den Beschwerdeführenden Gelegenheit, nach Gewährung der Akteneinsicht eine Stellungnahme einzureichen. Der rechtserhebliche Sachverhalt ist demnach zum Urteilszeitpunkt vollständig erstellt. Bei dieser Sachlage besteht keine Veranlassung, die Sache zur ergänzenden Sachverhaltsermittlungen an die Vorinstanz zurückzuweisen.</w:t>
      </w:r>
    </w:p>
    <w:p>
      <w:r>
        <w:rPr>
          <w:b/>
        </w:rPr>
        <w:t>E. 6.1</w:t>
      </w:r>
    </w:p>
    <w:p>
      <w:r>
        <w:t>Die Beschwerdeführenden rügen in der Replik eine Verletzung des Anspruchs auf rechtliches Gehör. In der Vernehmlassung verweise die Vorinstanz auf konfiszierte Dokumente, welche sich als Fälschungen erwiesen hätten. Um welche Dokumente es sich handle und auf welchen objektiven Fälschungsmerkmale diese Feststellung basiere, werde nicht dargelegt. Der Untersuchungsbericht sei weder ediert noch dessen wesentlichen Punkte offengelegt worden.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(vgl. BGE 143 III 65 E. 5.2).</w:t>
      </w:r>
    </w:p>
    <w:p>
      <w:r>
        <w:rPr>
          <w:b/>
        </w:rPr>
        <w:t>E. 6.3</w:t>
      </w:r>
    </w:p>
    <w:p>
      <w:r>
        <w:t>Wie sich den Akten entnehmen lässt, kontrollierte die EZV, Grenzwachtkorps L._______, am 20. September 2018 eine an eine Drittperson adressierte Kuriersendung, welche die Beschwerdeführenden betreffende Beweismittel beinhaltete (fünf irakische Identitätskarten, einen irakischen Führerausweis, zwei irakische Staatsbürgerschaftsurkunden, eine irakische Wohnsitzbescheinigung, diverse Kopien, eine Gerichtsurkunde, ein undatiertes Schreiben sowie ein Schreiben der Polizeidirektion I._______). Diese Dokumente unterzog die EZV am 16. Oktober 2018 einer Dokumentenanalyse. Am 18. Oktober 2018 erhoben die Beschwerdeführenden Beschwerde gegen den Asylentscheid. Mit Schreiben vom 24. Oktober 2018 orientierte die EZV die Vorinstanz über die kontrollierte Sendung sowie die Dokumentenanalysen, übermittelte die entsprechenden Dokumente (SEM-Akten A22 bis A26) und stellte die Sendung gestützt auf Art. 10 Abs. 2 AsylG sicher. Darüber wurde der Empfänger der Sendung (Anm. Gericht: eine Drittperson) informiert. Am 18. Februar 2019 stellte die Vorinstanz den Beschwerdeführenden die besagten Beweismittel sowie den Beweismittelumschlag in Kopie zu und hielt fest, die Beweismittel 8, 9 und 10 (Gerichtsurkunde, undatiertes Schreiben, Schreiben der Polizeidirektion I._______) seien konfisziert worden. In der Vernehmlassung vom 1. April 2019 äusserte sich die Vorinstanz zu den in der genannten Sendung enthaltenen Dokumenten und führte aus, die Identität der Beschwerdeführenden habe durch die nachträglich erhaltenen Identitätsdokumente nachgewiesen werden können. Die Tatsache, dass sich die konfiszierten Dokumente als Fälschungen erwiesen hätten, bestätige die Einschätzung der Unglaubhaftigkeit der Vorbringen. Wie sich aus dem Ausgeführten ergibt, hatten die Beschwerdeführenden bis zur Vernehmlassung der Vorinstanz vom 1. April 2019 keine Kenntnis von den Dokumentenanalysen und konnten sich dazu nicht äussern. Indem die Vorinstanz den Beschwerdeführenden in der Vernehmlassung die Ergebnisse der ihnen nicht bekannten Dokumentenanalysen vorhielt, verletzte sie den Anspruch auf rechtliches Gehör.</w:t>
      </w:r>
    </w:p>
    <w:p>
      <w:r>
        <w:rPr>
          <w:b/>
        </w:rPr>
        <w:t>E. 6.4</w:t>
      </w:r>
    </w:p>
    <w:p>
      <w:r>
        <w:t>Der Anspruch auf rechtliches Gehör ist formeller Natur, eine Verletzung desselben führt deshalb grundsätzlich - das heisst ungeachtet der materiellen Auswirkungen - zur Aufhebung des daraufhin ergangenen Entscheides (vgl. BVGE 2008/47 E. 3.3.4 S. 676 f.). Die Heilung von Gehörsverletzungen aus prozessökonomischen Gründen ist auf Beschwerdeebene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 sowie BVGE 2008/47 E. 3.3.4).</w:t>
      </w:r>
    </w:p>
    <w:p>
      <w:r>
        <w:rPr>
          <w:b/>
        </w:rPr>
        <w:t>E. 6.4.1</w:t>
      </w:r>
    </w:p>
    <w:p>
      <w:r>
        <w:t>In der Vernehmlassung vom 1. April 2019 äusserte sich die Vorinstanz zu den nach dem Asylentscheid eingegangenen Beweismitteln. Daraufhin erhielten die Beschwerdeführenden Gelegenheit zur Einreichung einer Replik.</w:t>
      </w:r>
    </w:p>
    <w:p>
      <w:r>
        <w:rPr>
          <w:b/>
        </w:rPr>
        <w:t>E. 6.4.2</w:t>
      </w:r>
    </w:p>
    <w:p>
      <w:r>
        <w:t>Mit der Zwischenverfügung vom 22. April 2020 wies das Gericht die Vorinstanz an, den Beschwerdeführenden den wesentlichen Inhalt der Dokumentenanalysen (Aktenstücke A24/6, A25/4 und A26/5) offenzulegen und ihnen Einsicht in die Aktenstücke A22/7 sowie A23/2 zu gewähren. Gleichzeitig erhielten die Beschwerdeführenden Gelegenheit, eine Stellungnahme beim Gericht einzureichen. Am 18. Mai 2020 reichten die Beschwerdeführenden eine entsprechende Stellungnahme ein.</w:t>
      </w:r>
    </w:p>
    <w:p>
      <w:r>
        <w:rPr>
          <w:b/>
        </w:rPr>
        <w:t>E. 6.4.3</w:t>
      </w:r>
    </w:p>
    <w:p>
      <w:r>
        <w:t>Vorliegend wurde das Versäumte nachgeholt, indem die Beschwerdeführenden Einsicht in die Aktenstücke betreffend die Dokumentenanalyse erhielten. Darauffolgend hatten sie Gelegenheit, hierzu eine Stellungnahme einzureichen. Eine schwerwiegende Verletzung des rechtlichen Gehörs ist nicht festzustellen. Die Entscheidreife konnte das Gericht mit vertretbarem Aufwand durch die vorstehend aufgeführte Vorgehensweise herstellen. Darüber hinaus kommt dem Bundesverwaltungsgericht bezüglich des Vollzugs der Wegweisung volle Kognition zu (Art. 49 VwVG). Der geltend gemachte Verfahrensmangel ist somit als geheilt zu erachten, zumal der rechtserhebliche Sachverhalt - wie vorstehend erwähnt - erstellt ist. Eine Kassation der Sache ist nicht angezeigt. Der Antrag auf Aufhebung und Rückweisung der angefochtenen Verfügung zur Neubeurteilung ist demnach abzuweisen.</w:t>
      </w:r>
    </w:p>
    <w:p>
      <w:r>
        <w:rPr>
          <w:b/>
        </w:rPr>
        <w:t>E. 7</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Die Vorinstanz gelangt in der angefochtenen Verfügung zum Schluss, die Vorbringen der Beschwerdeführenden genügten den Anforderungen an das Glaubhaftmachen gemäss Art. 7 AsylG nicht. Die Beschwerdeführerin habe ausgeführt, das (...), in welchem der Beschwerdeführer gearbeitet habe, gehöre seinem Vater und sie hätten dort zusammengearbeitet. Der Beschwerdeführer habe dies nicht erwähnt, sondern angegeben, wegen seinem Vater habe er das (...) nicht verlassen können. Erst auf Vorhalt der Aussage der Beschwerdeführerin habe er ausgeführt, das (...) gehöre seinem Vater. Sein Erklärungsversuch, weshalb er dies nicht gesagt und zuvor eine Zusammenarbeit mit seinem Vater verneint habe, sei nicht schlüssig. Die Anmerkung im Rahmen der Rückübersetzung, wonach ein Geschäft nur als Eigentum bezeichnet werde, wenn der Eigentümer selbst darin tätig sei, habe nicht zu überzeugen vermocht. Da er auf die Frage nach dem Einkommen des Vaters nichts von den Einnahmen des (...) erwähnt habe, sei zu vermuten, dass sie in anderen finanziellen Verhältnissen als angegeben gelebt hätten. Zudem sei widersprüchlich, dass das Einkommen aus der Arbeit im (...) knapp für die Familie gereicht habe, sie aber die Kosten für die Ausreise selbst aus Ersparnissen bezahlt hätten. Die Beschwerdeführerin habe anlässlich der Befragungen betreffend die Umstände der Trennung, namentlich ob sie nicht mehr nach Hause habe zurückkehren dürfen oder von ihrem Vater abgeholt worden sei, unterschiedliche Angaben gemacht. Auch wenn sich die zweite Aussage mit jener des Beschwerdeführers decke, sei nicht nachvollziehbar, weshalb sie bei der BzP auf Nachfrage angegeben habe, sie habe nicht mehr nach Hause gehen dürfen. Die Beschwerdeführerin habe bei der freien Schilderung der Asylgründe nicht erwähnt, in welchem Jahr sie vom Beschwerdeführer und ihren Kindern getrennt gewesen sei. Ihre Darlegungen hätten sich auf die Probleme der beiden Väter fokussiert und nicht auf die Zwangsscheidung, was erstaunlich sei. Den Grund des Fernhaltens von ihrer Familie durch ihren Vater habe sie nicht plausibel erklären können. Auf den Vorhalt, eine erzwungene Trennung widerspreche den Werten im Nordirak, habe sie nicht nachvollziehbar antworten können. Die Schilderungen der Beschwerdeführenden betreffend die Bestrebungen zur Änderung des Getrenntseins seien substanzlos ausgefallen. Weiter seien ihre Ausführungen zum Kontakt während des Jahres der Trennung unterschiedlich ausgefallen, namentlich zur Häufigkeit des telefonischen Kontakts sowie zu allfälligen Treffen. Auch die Angaben zum Beginn des Streits zwischen den beiden Vätern seien verschieden gewesen. Zudem habe die Beschwerdeführerin anlässlich der BzP die drohende Zwangsscheidung als Ausreisegrund genannt, diese aber anlässlich der Anhörung auf die Frage nach dem ausschlaggebenden Grund für die Ausreise zunächst nicht erwähnt. Der Umstand, dass die Beschwerdeführenden bereits zu einem früheren Zeitpunkt darüber nachgedacht hätten, den Irak zu verlassen, spreche dafür, dass der Ausreisegrund einer anderer als der geltend gemacht gewesen sei. Im Weiteren seien die Darlegungen der Beschwerdeführenden zur Ausreiseorganisation ohne Substanz. Es sei unlogisch, dass der Beschwerdeführer die Beschwerdeführerin nicht über die geplante Ausreise informiert habe. Die Erklärung, sie hätten zum damaligen Zeitpunkt nicht häufig Kontakt gehabt, überzeuge nicht. Schliesslich seien die geltend gemachten Identitäten zu bezweifeln. Die in Aussicht gestellten Identitätsdokumente seien bisher nicht eingereicht worden. Die Aussagen der Beschwerdeführenden, wo sich die entsprechenden Dokumente befänden, seien widersprüchlich ausgefallen. Die an der Anhörung vom Beschwerdeführer erwähnten abgespeicherten Beweismittel auf dem Mobiltelefon seien ebenfalls nicht eingereicht worden. Zudem sei erstaunlich, dass die Beschwerdeführenden keine genauen Angaben zum Inhalt dieser abgespeicherten Beweismittel hätten machen können. Angesichts der unsubstantiierten Aussagen sowie der Unglaubhaftigkeit der Gesuchsgründe sei diesen Dokumenten selbst bei nachträglicher Einreichung der Beweiswert abzusprechen.</w:t>
      </w:r>
    </w:p>
    <w:p>
      <w:r>
        <w:rPr>
          <w:b/>
        </w:rPr>
        <w:t>E. 8.2</w:t>
      </w:r>
    </w:p>
    <w:p>
      <w:r>
        <w:t>Auf Beschwerdeebene machen die Beschwerdeführenden geltend, die Vorinstanz habe ihre Vorbringen zu Unrecht als unglaubhaft beurteilt, mithin Art. 7 AsylG verletzt. Der Beschwerdeführer sei nicht nach den Eigentumsverhältnissen des (...) gefragt worden, in welchem er gearbeitet habe. Auf entsprechenden Vorhalt anlässlich der Anhörung habe er angegeben, dieses gehöre seinem Vater, der Leiter des (...) sei aber eine Person namens M._______. Inwiefern diese Erklärung nicht schlüssig sein soll, sei nicht erkennbar. Die Vorinstanz interpretiere die Aussage, «der ganze Verdienst ging zu ihm» falsch. Damit habe er nicht gemeint, er habe keinen Lohn erhalten, sondern dass der ganze Umsatz an seinen Vater gegangen sei. Angesichts der summarischen Natur der BzP sowie der Tatsache, dass Widersprüche zur Anhörung für die Beurteilung der Glaubhaftigkeit nur bei diametralen Abweichungen beigezogen werden dürfen, sei in den Aussagen der Beschwerdeführerin betreffend die Rückkehr ins Haus des Ehemannes kein gravierender Widerspruch zu entnehmen. Die Beschwerdeführerin habe bereits bei der BzP erklären wollen, dass sie den Befehl ihres Vaters missachtet und ins Haus der Schwiegereltern gegangen sei. Allerdings sei ihr mitgeteilt worden, sich kurz zu fassen. Zwar sei zutreffend, dass sie in der freien Erzählung die Trennung vom Beschwerdeführer und den Kindern nicht ausdrücklich erwähnt habe. Der Ursprung der Probleme sei aber der Konflikt zwischen den beiden Vätern gewesen. Dies habe sie in den Mittelpunkt gestellt. Sie habe erwähnt, dass ihr Vater sie geholt habe und nicht mehr bei ihrem Ehemann leben liess. Soweit die Vorinstanz es vor dem kulturellen Hintergrund im Irak als unrealistisch erachte, dass die Beschwerdeführenden hätten sich wegen des Streits scheiden lassen sollen, sei festzustellen, dass die beiden Väter vor Gericht gegangen seien. Das Verhältnis sei zerrüttet. Dass sie unter diesen Umständen eine Scheidung angestrebt hätten, sei nicht abwegig. So sei auch die Eheschliessung bereits arrangiert worden. Hinsichtlich der vorgehaltenen Unstimmigkeiten zur Zeit der Trennung sei klarzustellen, dass sie während dieser Zeit telefonisch Kontakt gehabt hätten. Zu einem Treffen mit den Kindern sei es nicht gekommen. Die Beschwerdeführerin habe lediglich ein paar Mal die Kinder aus Distanz gesehen. Gemäss dem eingereichten Dokument hätten die Väter ein Scheidungsbegehren beim Gericht eingereicht. Bis anhin sei dieses nicht berücksichtigt worden. Im Weiteren könne ihnen nicht vorgehalten werden, dass sie bereits im Jahr 2016 hätten ausreisen wollen, dann aber wieder zurückgekehrt seien. Bereits damals sei die Beziehung zwischen den Vätern nicht gut gewesen, weshalb sie die Ausreise in Betracht gezogen hätten. Als sie schliesslich getrennt worden seien und ihnen mit der Scheidung gedroht worden sei, hätten sie den definitiven Ausreiseentschluss gefasst. Der Beschwerdeführer habe die Ausreise geplant, sich aber noch Zugang zu den Pässen verschaffen müssen. Am Tag der Ausreise sei er mit den Kindern frühmorgens aus dem Haus gegangen und habe die Beschwerdeführerin abgeholt. Diese sei überrascht gewesen und habe sich lediglich noch ein spezielles Kleid anziehen können. Betreffend den Vorhalt des Nichteinreichens von Beweismitteln sei festzuhalten, dass die Verfahrensdauer sehr kurz gewesen sei und sich die Unterlagen zum Entscheidzeitpunkt bereits in der Schweiz befunden hätten.</w:t>
      </w:r>
    </w:p>
    <w:p>
      <w:r>
        <w:rPr>
          <w:b/>
        </w:rPr>
        <w:t>E. 8.3</w:t>
      </w:r>
    </w:p>
    <w:p>
      <w:r>
        <w:t>In der Vernehmlassung hält die Vorinstanz fest, zum Zeitpunkt des Asylentscheides hätten sich die von den Beschwerdeführenden in Aussicht gestellten Beweismittel beim GWK befunden, was nicht bekannt gewesen sei. Bereits in der angefochtenen Verfügung sei festgehalten worden, dass selbst bei nachträglicher Einreichung der auf dem Mobiltelefon gespeicherten Dokumente, diesen kein Beweiswert zukomme. Die Tatsache, dass sich die konfiszierten Dokumente als Fälschungen erwiesen hätten, bestätige die Einschätzung, dass diese die Asylgründe nicht zu belegen vermögen. Vielmehr untermauerten diese Dokumente die Unglaubhaftigkeit der Gesuchsgründe. Einzig die Identitäten der Beschwerdeführenden habe nachträglich nachgewiesen werden können, was an der Unglaubhaftigkeit der Vorbringen aber nichts ändere.</w:t>
      </w:r>
    </w:p>
    <w:p>
      <w:r>
        <w:rPr>
          <w:b/>
        </w:rPr>
        <w:t>E. 8.4</w:t>
      </w:r>
    </w:p>
    <w:p>
      <w:r>
        <w:t>In der Replik führen die Beschwerdeführenden aus, es sei dem Beschwerdeführer aus technischen Gründen nicht möglich gewesen, die Beweismittel auf dem Mobiltelefon auszudrucken. Die Vorinstanz wäre gehalten gewesen, eine Lösung zu finden. Ihm sei gesagt worden, er könne versuchen, sich die Bilder per E-Mail schicken zu lassen oder die Originale einzureichen. Hierauf habe er entgegnet, er erwarte die Zustellung der Dokumente per Post. Diese Annahme sei zutreffend gewesen, da sich die Dokumente bereits auf Schweizer Territorium befunden hätten. Da nicht sämtliche in Aussicht gestellten Dokumente als Bilder auf dem Mobiltelefon abgespeichert gewesen seien, habe er an der Anhörung auch nicht genauere Angaben machen können. Selbst bei berechtigten Zweifeln der Vorinstanz an den Vorbringen, dürfe sie sich der Pflicht zur korrekten Beweiswürdigung nicht entziehen.</w:t>
      </w:r>
    </w:p>
    <w:p>
      <w:r>
        <w:rPr>
          <w:b/>
        </w:rPr>
        <w:t>E. 9</w:t>
      </w:r>
    </w:p>
    <w:p>
      <w:r>
        <w:t>Die Beschwerdeführenden machen geltend, aufgrund der erzwungenen Trennung voneinander sowie der geplanten Zwangsscheidung wegen eines privaten Konflikts zwischen ihren beiden Vätern ihren Heimatstaat verlassen zu haben. Grundsätzlich wird vorliegend nicht in Abrede gestellt, dass es zwischen den Vätern der Beschwerdeführenden infolge eines Verlustgeschäfts zu Streitigkeiten gekommen ist. Diesbezüglich haben sich die Beschwerdeführenden übereinstimmend geäussert und mit Realkennzeichen versehene Aussagen gemacht (vgl. u.a. SEM-Akte A11/18 F58 und A12/16 F31). Allerdings sind die von den Beschwerdeführenden vorgebrachten Konsequenzen als unglaubhaft zu beurteilen. Auch wenn es nachvollziehbar scheint, dass die Beschwerdeführerin im Rahmen der freien Schilderungen der Asylgründe vom Konflikt der beiden Väter als Ursprung ihrer Probleme berichtete, wäre zu erwarten gewesen, dass sie zumindest bei dieser Gelegenheit auf das erzwungene einjährige Fernhalten von ihrer Familie, insbesondere ihren Kindern, hingewiesen hätte (vgl. SEM-Akte A11/18 F58). Es handelte sich dabei um ein Ereignis, welches sie im Gegensatz zu dem Streit der Väter unmittelbar betroffen hat. Stattdessen beschränkte sie sich im freien Bericht darauf, auf die Probleme zwischen den beiden Vätern und die daraus resultierende Belastung für die Familien einzugehen (vgl. a.a.O. F58). Auch in ihrer Antwort auf die an den freien Bericht anschliessende Frage, ob sie alle Gründe habe nennen können, weshalb sie den Nordirak verlassen habe, erwähnte sie die Trennung nicht (vgl. a.a.O. F59). Erst nachdem sie ausführlich von den Problemen der Väter berichtet hatte, ging sie erstmals auf die erzwungene Trennung von ihrer Familie ein (vgl. a.a.O. F74). Was die Rückkehr der Beschwerdeführerin ins Haus des Schwiegervaters betrifft, ist den Beschwerdeführenden zwar dahingehend zuzustimmen, als unter Berücksichtigung der summarischen Natur der BzP der Beschwerdeführerin nicht vorgehalten werden kann, sie habe sich anlässlich der Befragungen widersprochen, ob sie nicht mehr nach Hause habe gehen dürfen oder zu Hause von ihrem Vater abgeholt worden sei. Wie die Vorinstanz selbst festhielt, stimmten die Aussagen der Beschwerdeführenden anlässlich der Anhörung in diesem Punkt überein (vgl. SEM-Akte A11/18 F75 und A12/16 F38). Es ist nicht auszuschliessen, dass bei der BzP der Beschwerdeführerin in abgekürzter Form festgehalten wurde, sie habe beim Besuch ihrer Eltern nicht mehr nach Hause gehen dürfen (vgl. SEM-Akte A5/17 Ziff. 7.01 f.). Dies ändert allerdings in der Gesamtbetrachtung nichts daran, dass es den Beschwerdeführenden auf Beschwerdeebene nicht gelingt, die Ungereimtheiten hinsichtlich der erzwungenen Trennung auszuräumen. Die Beschwerdeführenden führen im Weiteren lediglich oberflächlich aus, sie hätten telefonischen Kontakt gehabt und es sei zu keinem Treffen gekommen, die Beschwerdeführerin habe die Kinder lediglich ein paar Mal aus der Ferne beobachten können. Damit setzen sich die Beschwerdeführenden nicht differenziert mit den von der Vorinstanz in der angefochtenen Verfügung aufgezeigten Ungereimtheiten auseinander. So äussern sie sich insbesondere auch nicht zu den von der Vorinstanz dargelegten unterschiedlichen Angaben zum telefonischen Kontakt und zu möglichen persönlichen Treffen während der Trennung und liefern keine Erklärung für die abweichenden Aussagen. Die Einschätzung, dass der familiäre Konflikt nicht das geltend gemachte Ausmass angenommen hat, wird durch die Tatsache untermauert, dass die Dokumentenanalysen der EZV ergeben haben, dass sowohl das Schreiben der Polizeidirektion I._______ als auch die Gerichtsurkunde Totalfälschungen seien und beim unbekannten Schreiben Anhaltspunkte für eine Totalfälschung bestünden (vgl. SEM-Akten A24/6, A25/4 und A26/5). Insofern wird den diesbezüglichen Vorbringen die Grundlage entzogen und es erübrigt sich, auf die Darlegungen auf Beschwerdeebene zu den eingeleiteten Verfahren weiter einzugehen. Die Vorinstanz stützte ihre Ansicht, dass die Beschwerdeführenden aus anderen Gründen als die geltend gemachten ausgereist seien, auch darauf, dass sie bereits im Januar 2016 einmal in die N._______ gereist sind, die Ausreise dann aber nicht geklappt hat (vgl. SEM-Akte A5/17 Ziff. 2.04). Die Beschwerdeführenden bringen auf Beschwerdeebene zwar vor, die Beziehung zwischen den Vätern sei bereits zum damaligen Zeitpunkt schlecht gewesen, weshalb sie die Ausreise in Betracht gezogen hätten. Aus den Befragungen der Beschwerdeführenden ergibt sich aber nicht, dass sie bereits damals die Ausreise in Zusammenhang mit dem Streit wegen eines Verlustgeschäfts zwischen den Vätern gebracht haben. Zudem lassen sich die erste Ausreise am (...) 2016 (vgl. SEM-Akte A5/17 Ziff. 2.04) und der Beginn dieser Auseinandersetzung zeitlich nicht vereinbaren. An der BzP gab die Beschwerdeführerin an, die familiäre Situation sei seit Ende 2016 angespannt gewesen (vgl. SEM-Akte A5/17 Ziff. 7.02 S. 11). Der Beschwerdeführer führte bei der BzP am 31. August 2018 aus, dieser Konflikt bestehe seit einem Jahr (vgl. SEM-Akte A4/17 Ziff. 7.02). Letztendlich ist aber nicht relevant, weshalb sie damals in die N._______ gereist sind, da sie wieder in ihren Heimatort und zu ihren Familien zurückgekehrt sind und bis zur Ausreise am (...) 2018 weiterhin beim Vater des Beschwerdeführers gewohnt haben. Aufgrund des Gesagten ergibt sich, dass die als Ausreisegrund geltend gemachte erzwungene Trennung der Beschwerdeführerin vor dem Beschwerdeführer und den Kindern sowie die angedrohte Zwangsscheidung unglaubhaft sind. Im Übrigen kann, um Wiederholungen zu vermeiden, auf die Erwägungen in der angefochtenen Verfügung verwiesen werden.</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w:t>
      </w:r>
    </w:p>
    <w:p>
      <w:r>
        <w:t>Vorliegend ist rechtskräftig festgestellt, dass die Beschwerdeführenden und ihre Kinder die Flüchtlingseigenschaft nicht erfüllen, weshalb das flüchtlingsrechtliche Rückschiebungsverbot von Art. 5 Abs. 1 AsylG und Art. 33 Abs. 1 FK nicht anwendbar ist.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 private Streitigkeit zwischen den Vätern der Beschwerdeführenden steht der Zulässigkeit des Vollzugs nicht entgegen. Es steht den Beschwerdeführenden offen, sich bei allfälligen Problemen an die örtlichen Sicherheitskräfte zu wenden. Gemäss Rechtsprechung des Bundesverwaltungsgericht sind die Sicherheits- und Justizbehörden der nordirakischen Autonomen Region Kurdistan (ARK; die ARK wird seit Anfang 2015 durch die Provinzen Dohuk, Erbil, Suleymania sowie die von Letzterer abgespalteten Provinz Halabja gebildet) grundsätzlich in der Lage und willens, den Einwohnern dieser vier Provinzen Schutz vor Verfolgung zu gewähren (BVGE 2008/4 E. 6.1-6.7 sowie aktuell: Urteile des BVGer E-5925/2019 vom 26. November 2019 E. 9.2.4 und D-1927/2019 vom 23. Mai 2019 E. 6.2 und 8.3). Auch die allgemeine Menschenrechtssituation in der ARK-Region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des BVGer E-5757/2017 vom 13. Juli 2020 E. 8.2.4).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Im Urteil BVGE 2008/5 hat sich das Bundesverwaltungsgericht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vier Provinzen der ARK aktuell nach wie vor nicht von einer Situation allgemeiner Gewalt im Sinne von Art. 83 Abs. 4 AIG auszugehen ist. An dieser Einschätzung, welche jeweils auf die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Urteile des BVGer E-5608/2018 vom 19. Dezember 2019 E. 7.3.2 und D-6065/2019 vom 9. Dezember 2019 E. 8.2).</w:t>
      </w:r>
    </w:p>
    <w:p>
      <w:r>
        <w:rPr>
          <w:b/>
        </w:rPr>
        <w:t>E. 10.3.2</w:t>
      </w:r>
    </w:p>
    <w:p>
      <w:r>
        <w:t>Die Beschwerdeführenden und ihre Kinder stammen aus H._______, Provinz I._______. Sie lebten bei den Eltern des Beschwerdeführers (vgl. a.a.O. Ziff. 2.01 sowie A5/17 Ziff. 2.01). Da die geltend gemachten Ausreisegründe unglaubhaft sind, ist anzunehmen, dass auch die Beschwerdeführerin bis zur Ausreise dort wohnhaft war. Wie sich aus den Akten ergibt, leben die Eltern, die (...) Geschwister, (...) Onkel (ein Onkel ist der Vater der Beschwerdeführerin) sowie (...) Tanten des Beschwerdeführers und die Eltern, die (...) Geschwister, (...) Onkel (ein Onkel ist der Vaters des Beschwerdeführers) und (...) Tanten der Beschwerdeführerin im Distrikt H._______ (vgl. SEM-Akte A4/17 Ziff. 3.01 sowie A5/17 Ziff. 3.01). Vor diesem Hintergrund ist trotz möglicher Differenzen zwischen den Vätern der Beschwerdeführenden von einem tragfähigen familiären Beziehungsnetz sowie einer gesicherten Wohnsituation auszugehen. Es ist davon auszugehen, dass die Beschwerdeführenden und ihre Kinder bei einer Rückkehr nach H._______ wieder im Haus der Eltern des Beschwerdeführers wohnen können. Gesundheitliche Probleme, die dem Vollzug entgegenstehen könnten, gehen aus den Akten nicht hervor (vgl. SEM-Akte A12/16 F78 und A11/18 F111 f.). Auch in finanzieller Hinsicht ist davon auszugehen, dass die Existenz der Beschwerdeführenden und ihren Kindern - nebst der vorhandenen Unterkunftsmöglichkeit und einem familiären Umfeld - bei einer Rückkehr gesichert ist. Der Beschwerdeführer besuchte gemäss seinen Angaben (...) Jahre lang die (...)schule und war danach während (...) Jahren in einem (...) für die (...) zuständig (vgl. SEM-Akte A4/17 Ziff. 1.17.04 f. und A12/16 F18 ff.). Ob dieses dessen Vater gehört, kann offenbleiben. Es ist anzunehmen, dass es ihm möglich sein wird, bei einer Rückkehr wieder in einem (...) zu arbeiten, wenn auch möglicherweise in einem anderen. Sodann waren sie offenbar in der Lage, die Reisekosten in die Schweiz von (...) Euro aus Ersparnissen und dem Verkauf des (...) selbst zu bezahlen (vgl. SEM-Akte A5/17 Ziff. 5.02 und A4/17 Ziff. 5.02). Gemäss Angaben der Beschwerdeführerin erhielten sie bei Bedarf von der Familie finanzielle Unterstützung im Alltag (SEM-Akte A11/18 F38.).</w:t>
      </w:r>
    </w:p>
    <w:p>
      <w:r>
        <w:rPr>
          <w:b/>
        </w:rPr>
        <w:t>E. 10.3.3</w:t>
      </w:r>
    </w:p>
    <w:p>
      <w:r>
        <w:t>Auch das Kindeswohl steht der Zumutbarkeit des Wegweisungsvollzugs nicht entgegen. Zum Zeitpunkt des Ergehens des vorliegenden Urteils sind die Kinder der Beschwerdeführenden (...), (...), (...) sowie knapp (...) Jahr alt und befinden sich seit rund zwei Jahren in der Schweiz. Angesichts ihres Alters stellen die Eltern und Geschwister die Hauptbezugspersonen dar. Es bestehen keine Anhaltspunkte einer derartigen Verwurzelung der Kinder in der Schweiz, insbesondere bei der (...)jährigen C._______ nicht, dass bei einem Vollzug das Kindeswohl gefährdet wäre. Bei der knapp (...)jährigen F._______ ist eine eigene Sozialisation ohnehin auszuschliessen (vgl. auch BVGE 2009/28 E. 9.3). Somit steht das Kindeswohl der Zumutbarkeit des Vollzugs nicht entgegen. Insgesamt erweist sich der Vollzug der Wegweisung als zumutbar.</w:t>
      </w:r>
    </w:p>
    <w:p>
      <w:r>
        <w:rPr>
          <w:b/>
        </w:rPr>
        <w:t>E. 10.4</w:t>
      </w:r>
    </w:p>
    <w:p>
      <w:r>
        <w:t>Ferner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im Irak angepasst wird (vgl. Entscheidungen und Mitteilungen der Schweizerischen Asylrekurskommission [EMARK] 1995 Nr. 14 E. 8d und e sowie das Urteil des BVGer D-4796/2019 vom 27. April 2020 E. 8.9 m.w.H.).</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und angemessen ist (vgl. Art. 49 VwVG). Die Beschwerde ist abzuweisen.</w:t>
      </w:r>
    </w:p>
    <w:p>
      <w:r>
        <w:rPr>
          <w:b/>
        </w:rPr>
        <w:t>E. 12.1</w:t>
      </w:r>
    </w:p>
    <w:p>
      <w:r>
        <w:t>Bei diesem Ausgang des Verfahrens wären die Kosten grundsätzlich den Beschwerdeführenden aufzuerlegen (Art. 63 Abs. 1 VwVG). Da ihnen indes mit Zwischenverfügung vom 24. Januar 2019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12.2</w:t>
      </w:r>
    </w:p>
    <w:p>
      <w:r>
        <w:t>Mit Zwischenverfügung vom 11. Februar 2019 hat die Instruktionsrichterin lic. iur. Isabelle Müller als amtliche Rechtsvertreterin eingesetzt. Seitens der Rechtsvertretung wurde keine Kostennote eingereicht. Auf Nachforderung einer solchen kann indes verzichtet werden, da der Aufwand für das vorliegende Beschwerdeverfahren zuverlässig abgeschätzt werden kann (Art. 14 Abs. 2 in fine VGKE). Ausgehend von der Mandatsanzeige am 6. Februar 2019, den Schreiben vom 12. sowie 20. Februar 2019, der ergänzenden Beschwerdeeingabe vom 7. März 2019, der Replik vom 23. April 2019, der Stellungnahme vom 18. Mai 2020 und einem Stundenansatz von Fr. 150.- als nichtanwaltliche Vertreterin (vgl. genannte Zwischenverfügung sowie Art. 12 i.V.m. Art. 10 Abs. 2 VGKE) erscheint ein Honorar von Fr. 1'800.- (inkl. Auslagen und Mehrwertsteuerzuschlag) angemessen. Dieser Betrag ist der amtlich eingesetzten Rechtsvertreterin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