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E-5961/2015 vom 29. September 2015</w:t>
      </w:r>
    </w:p>
    <w:p>
      <w:r>
        <w:t>Bundesverwaltungsgericht, 2015-09-29, DE</w:t>
      </w:r>
    </w:p>
    <w:p>
      <w:r>
        <w:rPr>
          <w:b/>
        </w:rPr>
        <w:t xml:space="preserve">Quelle: </w:t>
      </w:r>
      <w:r>
        <w:t>https://mcp.opencaselaw.ch/entscheid/bvger_E-5961_2015</w:t>
      </w:r>
    </w:p>
    <w:p>
      <w:r>
        <w:t>FR: TAF E-5961/2015 du 29 septembre 2015</w:t>
      </w:r>
    </w:p>
    <w:p>
      <w:r>
        <w:t>IT: TAF E-5961/2015 del 29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4.1</w:t>
      </w:r>
    </w:p>
    <w:p>
      <w:r>
        <w:t>In der Rechtsmitteleingabe wird ausgeführt, die Vorinstanz sei in der angefochtenen Verfügung in keiner Weise auf die aktuelle Situation in Ungarn eingegangen und habe nicht geprüft, ob den Beschwerdeführenden als Familie mit einem Kleinkind zum jetzigen Zeitpunkt zugemutet werden könne, nach Ungarn überstellt zu werden. Damit rügen die Beschwerdeführenden eine Verletzung des rechtlichen Gehörs, nämlich die Verletzung der Begründungspflicht.</w:t>
      </w:r>
    </w:p>
    <w:p>
      <w:r>
        <w:rPr>
          <w:b/>
        </w:rPr>
        <w:t>E. 4.2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Überlegungen kurz genannt werden, von denen sich die Behörde leiten liess und auf die sie ihren Entscheid stützt (BVGE 2009/35 E. 6.4.1).</w:t>
      </w:r>
    </w:p>
    <w:p>
      <w:r>
        <w:rPr>
          <w:b/>
        </w:rPr>
        <w:t>E. 4.3</w:t>
      </w:r>
    </w:p>
    <w:p>
      <w:r>
        <w:t>Im Urteil E-2093/2012 vom 9. Oktober 2013 hat sich das Bundesverwaltungsgericht eingehend mit der damals aktuellen Lage für Asylsuchende in Ungarn auseinandergesetzt. Dabei hat es mit Blick auf die damalige Situation von Asylsuchenden in Ungarn das Vorhandensein systemischer Mängel verneint. Indes führte es aus, die Asylunterkünfte in Ungarn würden häufig nicht den europäischen Standards entsprechen. In Anbetracht der steigenden Zahl von Asylsuchenden hätten sich die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(vgl. vorgenanntes Urteil E. 9 ff.). Es sei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habe.</w:t>
      </w:r>
    </w:p>
    <w:p>
      <w:r>
        <w:rPr>
          <w:b/>
        </w:rPr>
        <w:t>E. 4.4</w:t>
      </w:r>
    </w:p>
    <w:p>
      <w:r>
        <w:t>In der angefochtenen Verfügung führt die Vorinstanz aus, als asylsuchende Personen hätten die Beschwerdeführenden in Ungarn Anspruch auf eine Unterkunft, drei Mahlzeiten pro Tag und ein monatliches Zehrgeld. Gemäss ihren Erkenntnissen würden die Beschwerdeführenden als Familie auf einem separaten Stockwerk in einem Familienzimmer untergebracht und nicht voneinander getrennt. Mit dem blossen, nicht näher substantiierten Hinweis auf ihre Erkenntnisse hat sich die Vorinstanz weder mit der sich in den letzten Wochen wesentlich veränderten Lage in Ungarn noch der für die Beschwerdeführenden und ihrem dreijährigen Kind bei einer Überstellung anzutreffenden konkreten Situation hinreichend auseinandergesetzt. In Beachtung des vorerwähnten Urteils wäre sie indes gehalten gewesen, ihre Erkenntnisse näher zu erläutern und darzulegen, inwiefern eine Überstellung in Betracht kommt, zumal die Beschwerdeführenden mit ihrem dreijährigen Kind überstellt werden sollen. Indem sie dies nicht getan hat, hat die Vor-instanz die ihr obliegende Begründungspflicht verletzt. Die erhobene Rüge erweist sich als zutreffend.</w:t>
      </w:r>
    </w:p>
    <w:p>
      <w:r>
        <w:rPr>
          <w:b/>
        </w:rPr>
        <w:t>E. 4.5</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klar ausser Betracht, da dem Bundesverwaltungsgericht bei Dublinverfahren nur beschränkte Kognition zukommt (Art. 106 Abs. 1 AsylG).</w:t>
      </w:r>
    </w:p>
    <w:p>
      <w:r>
        <w:rPr>
          <w:b/>
        </w:rPr>
        <w:t>E. 4.6</w:t>
      </w:r>
    </w:p>
    <w:p>
      <w:r>
        <w:t>Die Beschwerde ist somit gutzuheissen. Die Verfügung vom 14. September 2015 ist aufzuheben und die Sache im Sinne der Erwägungen einem neuen Entscheid zuzuführen. Damit ist den Antrag auf Wiederherstellung der aufschiebenden Wirkung gegenstandslos geworden.</w:t>
      </w:r>
    </w:p>
    <w:p>
      <w:r>
        <w:rPr>
          <w:b/>
        </w:rPr>
        <w:t>E. 5.1</w:t>
      </w:r>
    </w:p>
    <w:p>
      <w:r>
        <w:t>Bei diesem Ausgang des Verfahrens sind den Beschwerdeführenden keine Verfahrenskosten aufzuerlegen (Art. 63 Abs. 1 VwVG).</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mit der Eingabe eine Kostennote vom 23. September 2015 eingereicht. Sie weist darin einen zeitlichen Aufwand von 7.25 Stunden und Barauslagen von Fr. 15.- aus. Der zeitliche Aufwand sowie die geltend gemachten Barauslagen erscheinen als angemessen. In Anwendung von Art. 8, 9 und 11 VGKE sowie ausgehend von einem Stundenansatz von Fr. 250.- ist die Parteientschädigung auf Fr. 1'812.50 festzusetzen. Das SEM ist anzuweisen, diesen Betrag den Beschwerdeführenden als Parteientschädigung zu entrichten.</w:t>
      </w:r>
    </w:p>
    <w:p>
      <w:r>
        <w:rPr>
          <w:b/>
        </w:rPr>
        <w:t>E. 5.3</w:t>
      </w:r>
    </w:p>
    <w:p>
      <w:r>
        <w:t>Mit dem vorliegenden Urteil sind die Anträge auf Gewährung der unentgeltlichen Prozessführung und unentgeltlichen Verbeiständung sowie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