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E-5955/2024 vom 15. August 2024</w:t>
      </w:r>
    </w:p>
    <w:p>
      <w:r>
        <w:t>Bundesverwaltungsgericht, 2024-08-15, DE</w:t>
      </w:r>
    </w:p>
    <w:p>
      <w:r>
        <w:rPr>
          <w:b/>
        </w:rPr>
        <w:t xml:space="preserve">Quelle: </w:t>
      </w:r>
      <w:r>
        <w:t>https://mcp.opencaselaw.ch/entscheid/bvger_E-5955_2024_d20240815</w:t>
      </w:r>
    </w:p>
    <w:p>
      <w:r>
        <w:t>FR: TAF E-5955/2024 du 15 août 2024</w:t>
      </w:r>
    </w:p>
    <w:p>
      <w:r>
        <w:t>IT: TAF E-5955/2024 del 15 agosto 2024</w:t>
      </w:r>
    </w:p>
    <w:p>
      <w:pPr>
        <w:pStyle w:val="Heading2"/>
      </w:pPr>
      <w:r>
        <w:t>Regeste</w:t>
      </w:r>
    </w:p>
    <w:p>
      <w:r>
        <w:t>Asyl und Wegweisung | Asyl und Wegweisung; Verfügung des SEM vom 15. August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Asylgesetz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w:t>
      </w:r>
    </w:p>
    <w:p>
      <w:r>
        <w:t>E-5955/2024 Seite 5 AsylG). Als ernsthafte Nachteile gelten namentlich die Gefährdung des Lei- bes, des Lebens oder der Freiheit sowie Massnahmen, die einen unerträg- lichen psychischen Druck bewirken; den frauenspezifischen Fluchtgründen ist Rechnung zu tragen (Art. 3 Abs. 2 AsylG).</w:t>
      </w:r>
    </w:p>
    <w:p>
      <w:r>
        <w:rPr>
          <w:b/>
        </w:rPr>
        <w:t>E. 5.1</w:t>
      </w:r>
    </w:p>
    <w:p>
      <w:r>
        <w:t>Die Vorinstanz kam in ihrer Verfügung vom 15. August 2024 zum Schluss, die Vorbringen der Beschwerdeführenden hielten den Anforderun- gen an die Flüchtlingseigenschaft gemäss Art. 3 AsylG nicht stand. Die geltend gemachten Vorfälle des Beschwerdeführers seien weder poli- tisch, rassistisch, religiös noch in seiner Nationalität begründet. Vielmehr handle es sich bei der (…)explosion – selbst wenn diese aufgrund man- gelnder Wartung der Anlage durch eine staatliche Institution in grobfahrläs- siger Weise in Kauf genommen wurde – um einen Unfall. Bei den danach erfolgten Vorfällen liege eine persönliche Fehde zwischen dem Beschwer- deführer und einer offenbar einflussreichen Person im städtischen Dienst vor. Dessen Vorgehen gegen den Beschwerdeführer liege kein Motiv nach Art. 3 AsylG zugrunde, vielmehr sei dieses darauf gerichtet gewesen, das Handeln des Beschwerdeführers in eine bestimmte Richtung zu beeinflus- sen. Im Übrigen könnten sich die Beschwerdeführenden um jegliche Kon- flikte mit dem Beamten zu entgehen, sich an einem anderen Ort in Usbe- kistan niederlassen.</w:t>
      </w:r>
    </w:p>
    <w:p>
      <w:r>
        <w:rPr>
          <w:b/>
        </w:rPr>
        <w:t>E. 5.2</w:t>
      </w:r>
    </w:p>
    <w:p>
      <w:r>
        <w:t>In der Rechtsmitteleingabe bringen die Beschwerdeführenden vor, es könne gerade nicht von einer persönlichen Fehde zwischen Privatperso- nen ausgegangen werden. Mit seinen Beschwerden habe der Beschwer- deführer darauf abgezielt, den Leiter der (…)behörde in dessen öffentlicher Funktion zur Rechenschaft zu ziehen. Dieses Aufbegehren ‒ seine Kritik an der Nachlässigkeit, Fahrlässigkeit sowie Korruption an die Verwaltung ‒ habe zu den geltend gemachten Vorfällen geführt, womit ein Verfol- gungsmotiv nach Art. 3 AsylG vorliege. Ferner könne von ihm nicht verlangt werden, auf eine Aufarbeitung der Vorfälle zu verzichten.</w:t>
      </w:r>
    </w:p>
    <w:p>
      <w:r>
        <w:rPr>
          <w:b/>
        </w:rPr>
        <w:t>E. 6</w:t>
      </w:r>
    </w:p>
    <w:p>
      <w:r>
        <w:t>Die Beschwerdeführenden rügen sinngemäss, die Vorinstanz habe sie zu Unrecht nicht als Flüchtlinge anerkannt und damit Bundesrecht verletzt. Die vorinstanzlichen Erwägungen sind indes nicht zu beanstanden. In der angefochtenen Verfügung wird einlässlich dargelegt, aus welchen Gründen die Beschwerdeführenden die Voraussetzungen zur Anerkennung als Flüchtlinge nicht erfüllen. Mit der Vorinstanz und entgegen der Ansicht der</w:t>
      </w:r>
    </w:p>
    <w:p>
      <w:r>
        <w:t>E-5955/2024 Seite 6 Beschwerdeführenden ist insbesondere festzustellen, dass es den geltend gemachten Behelligungen und Problemen der Beschwerdeführenden im Zusammenhang mit der von ihnen betriebenen (…) offensichtlich an einem relevanten Motiv nach Art. 3 Abs. 1 AsylG fehlt. Mit der blossen Behaup- tung in der Rechtsmitteingabe, ein Motiv liege vor, substantiieren die Be- schwerdeführenden ein solches nicht ansatzweise und ist ebenso aufgrund der Akten ein solches nicht ersichtlich. Die Vorinstanz hält zudem zu Recht fest, dass sich die Beschwerdeführenden durch ein innerstaatliches Aus- weichen den genannten, durchaus bedauerlichen Schwierigkeiten, hätten entziehen können, mithin sie gemäss dem Subsidiaritätsprinzip nicht auf den Schutz der Schweiz angewiesen sind. Weiter gelingt es den Beschwer- deführenden mit dem Wiederholen ihrer Vorbringen und dem Dranfesthal- ten, sie würden die Voraussetzungen zur Ankerkennung als Flüchtlinge er- füllen, nicht darzulegen, inwiefern die Vorinstanz das Vorliegen der Flücht- lingseigenschaft zu Unrecht verneint hat. Die Vorinstanz hat demnach die Flüchtlingseigenschaft der Beschwerde- führenden zu Recht verneint und deren Asylgesuche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E-5955/2024 Seite 7</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den Be- 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8.2.5</w:t>
      </w:r>
    </w:p>
    <w:p>
      <w:r>
        <w:t>Sodann ergeben sich weder aus den Aussagen der Beschwer- deführenden noch aus den Akten Anhaltspunkte dafür, dass sie für den Fall einer Ausschaffung in den Heimatstaat dort mit beachtlicher Wahrschein- lichkeit einer nach Art. 3 EMRK oder Art. 1 FoK verbotenen Strafe oder Be- handlung ausgesetzt wären. Gemäss der Praxis des Europäischen Ge- richtshofes für Menschenrechte (EGMR) sowie jener des UN-Anti-Folter- ausschusses müssten die Beschwerdeführenden eine konkrete Gefahr ("real risk") nachweisen oder glaubhaft machen, dass ihnen im Fall einer Rückschiebung Folter oder unmenschliche Behandlung drohen würden (vgl. Urteil des EGMR Saadi gegen Italien vom 28. Februar 2008, Grosse Kammer 37201/06, §§ 124–127 m.w.H.). Nach den vorstehenden Ausfüh- rungen gelingt ihnen das nicht. Auch die allgemeine Menschenrechts-</w:t>
      </w:r>
    </w:p>
    <w:p>
      <w:r>
        <w:t>E-5955/2024 Seite 8 situation im Heimatstaat lässt den Wegweisungsvollzug zum heutigen Zeit- 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Usbekistan herrscht zurzeit weder ein kriegsähnlicher Zustand noch eine Situation allgemeiner Gewalt. Der Vollzug der Wegweisung dort- hin ist daher als generell zumutbar zu erachten (vgl. dazu Urteil des BVGer D-2721/2022 vom 8. Juni 2023 E. 8.3.1, m.w.H.).</w:t>
      </w:r>
    </w:p>
    <w:p>
      <w:r>
        <w:rPr>
          <w:b/>
        </w:rPr>
        <w:t>E. 8.3.3</w:t>
      </w:r>
    </w:p>
    <w:p>
      <w:r>
        <w:t>Sodann hat die Vorinstanz in der angefochtenen Verfügung zutref- fend ausgeführt, dass die Beschwerdeführenden zwar ein angespanntes Verhältnis mit der Familie des Beschwerdeführers hätten, nicht aber zur Familie der Beschwerdeführerin, mithin sie bei einer Rückkehr zumindest vorübergehend bei diesen über eine Wohnmöglichkeit verfügen würden. Sodann habe der Beschwerdeführer Arbeitserfahrungen in verschiedenen Branchen und sei diesbezüglich sehr flexibel. Auch der Beschwerdeführe- rin sei es zuzumuten, in einem gewissen Grad an den Unterhalt der Familie beizutragen. Schliesslich hätten die Kinder den grössten Teil ihres Lebens im Heimatland verbracht und würden über entsprechende Sprachkennt- nisse verfügen, so dass eine Rückkehr nach Usbekistan, auch unter dem Blickwinkel des Kindeswohls nichts entgegenstehe. Mit diesen zutreffen- den Erwägungen setzen sich die Beschwerdeführenden in der Rechtsmit- teleingabe nicht auseinander, weshalb ohne weiteres auf diese verwiesen werden kann.</w:t>
      </w:r>
    </w:p>
    <w:p>
      <w:r>
        <w:rPr>
          <w:b/>
        </w:rPr>
        <w:t>E. 8.3.4</w:t>
      </w:r>
    </w:p>
    <w:p>
      <w:r>
        <w:t>Nach dem Gesagten erweist sich der Vollzug der Wegweisung somit auch als zumutbar.</w:t>
      </w:r>
    </w:p>
    <w:p>
      <w:r>
        <w:rPr>
          <w:b/>
        </w:rPr>
        <w:t>E. 8.4</w:t>
      </w:r>
    </w:p>
    <w:p>
      <w:r>
        <w:t>Die Beschwerdeführenden verfügen allesamt über gültige usbekische Reisepässe, weshalb der Vollzug der Wegweisung auch als möglich zu be- zeichnen ist (Art. 83 Abs. 2 AIG).</w:t>
      </w:r>
    </w:p>
    <w:p>
      <w:r>
        <w:t>E-5955/2024 Seite 9</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den Beschwer- deführenden aufzuerlegen (Art. 63 Abs. 1 VwVG) und auf insgesamt Fr. 750.– festzusetzen (Art. 1–3 des Reglements vom 21. Februar 2008 über die Kosten und Entschädigungen vor dem Bundesverwaltungsgericht [VGKE, SR 173.320.2]). Der am 9. Oktober 2024 geleistete Kostenvor- schuss in der Höhe von Fr. 750.– ist zur Bezahlung der Verfahrenskosten zu verwenden.</w:t>
      </w:r>
    </w:p>
    <w:p>
      <w:r>
        <w:t>(Dispositiv nächste Seite)</w:t>
      </w:r>
    </w:p>
    <w:p>
      <w:r>
        <w:t>E-5955/2024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