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E-5955/2024 vom 25. März 2025</w:t>
      </w:r>
    </w:p>
    <w:p>
      <w:r>
        <w:t>Bundesverwaltungsgericht, 2025-03-25, DE</w:t>
      </w:r>
    </w:p>
    <w:p>
      <w:r>
        <w:rPr>
          <w:b/>
        </w:rPr>
        <w:t xml:space="preserve">Quelle: </w:t>
      </w:r>
      <w:r>
        <w:t>https://mcp.opencaselaw.ch/entscheid/bvger_E-5955_2024</w:t>
      </w:r>
    </w:p>
    <w:p>
      <w:r>
        <w:t>FR: TAF E-5955/2024 du 25 mars 2025</w:t>
      </w:r>
    </w:p>
    <w:p>
      <w:r>
        <w:t>IT: TAF E-5955/2024 del 25 marzo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w:t>
      </w:r>
    </w:p>
    <w:p>
      <w:r>
        <w:t>E-5955/2024 Seite 5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kam in ihrer Verfügung vom 15. August 2024 zum Schluss, die Vorbringen der Beschwerdeführenden hielten den Anforderun- gen an die Flüchtlingseigenschaft gemäss Art. 3 AsylG nicht stand. Die geltend gemachten Vorfälle des Beschwerdeführers seien weder poli- tisch, rassistisch, religiös noch in seiner Nationalität begründet. Vielmehr handle es sich bei der (…)explosion – selbst wenn diese aufgrund man- gelnder Wartung der Anlage durch eine staatliche Institution in grobfahrläs- siger Weise in Kauf genommen wurde – um einen Unfall. Bei den danach erfolgten Vorfällen liege eine persönliche Fehde zwischen dem Beschwer- deführer und einer offenbar einflussreichen Person im städtischen Dienst vor. Dessen Vorgehen gegen den Beschwerdeführer liege kein Motiv nach Art. 3 AsylG zugrunde, vielmehr sei dieses darauf gerichtet gewesen, das Handeln des Beschwerdeführers in eine bestimmte Richtung zu beeinflus- sen. Im Übrigen könnten sich die Beschwerdeführenden um jegliche Kon- flikte mit dem Beamten zu entgehen, sich an einem anderen Ort in Usbe- kistan niederlassen.</w:t>
      </w:r>
    </w:p>
    <w:p>
      <w:r>
        <w:rPr>
          <w:b/>
        </w:rPr>
        <w:t>E. 5.2</w:t>
      </w:r>
    </w:p>
    <w:p>
      <w:r>
        <w:t>In der Rechtsmitteleingabe bringen die Beschwerdeführenden vor, es könne gerade nicht von einer persönlichen Fehde zwischen Privatperso- nen ausgegangen werden. Mit seinen Beschwerden habe der Beschwer- deführer darauf abgezielt, den Leiter der (…)behörde in dessen öffentlicher Funktion zur Rechenschaft zu ziehen. Dieses Aufbegehren ‒ seine Kritik an der Nachlässigkeit, Fahrlässigkeit sowie Korruption an die Verwaltung ‒ habe zu den geltend gemachten Vorfällen geführt, womit ein Verfol- gungsmotiv nach Art. 3 AsylG vorliege. Ferner könne von ihm nicht verlangt werden, auf eine Aufarbeitung der Vorfälle zu verzichten.</w:t>
      </w:r>
    </w:p>
    <w:p>
      <w:r>
        <w:rPr>
          <w:b/>
        </w:rPr>
        <w:t>E. 6</w:t>
      </w:r>
    </w:p>
    <w:p>
      <w:r>
        <w:t>Die Beschwerdeführenden rügen sinngemäss, die Vorinstanz habe sie zu Unrecht nicht als Flüchtlinge anerkannt und damit Bundesrecht verletzt. Die vorinstanzlichen Erwägungen sind indes nicht zu beanstanden. In der angefochtenen Verfügung wird einlässlich dargelegt, aus welchen Gründen die Beschwerdeführenden die Voraussetzungen zur Anerkennung als Flüchtlinge nicht erfüllen. Mit der Vorinstanz und entgegen der Ansicht der</w:t>
      </w:r>
    </w:p>
    <w:p>
      <w:r>
        <w:t>E-5955/2024 Seite 6 Beschwerdeführenden ist insbesondere festzustellen, dass es den geltend gemachten Behelligungen und Problemen der Beschwerdeführenden im Zusammenhang mit der von ihnen betriebenen (…) offensichtlich an einem relevanten Motiv nach Art. 3 Abs. 1 AsylG fehlt. Mit der blossen Behaup- tung in der Rechtsmitteingabe, ein Motiv liege vor, substantiieren die Be- schwerdeführenden ein solches nicht ansatzweise und ist ebenso aufgrund der Akten ein solches nicht ersichtlich. Die Vorinstanz hält zudem zu Recht fest, dass sich die Beschwerdeführenden durch ein innerstaatliches Aus- weichen den genannten, durchaus bedauerlichen Schwierigkeiten, hätten entziehen können, mithin sie gemäss dem Subsidiaritätsprinzip nicht auf den Schutz der Schweiz angewiesen sind. Weiter gelingt es den Beschwer- deführenden mit dem Wiederholen ihrer Vorbringen und dem Dranfesthal- ten, sie würden die Voraussetzungen zur Ankerkennung als Flüchtlinge er- füllen, nicht darzulegen, inwiefern die Vorinstanz das Vorliegen der Flücht- lingseigenschaft zu Unrecht verneint hat. Die Vorinstanz hat demnach die Flüchtlingseigenschaft der Beschwerde- führenden zu Recht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E-5955/2024 Seite 7</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Nach den vorstehenden Ausfüh- rungen gelingt ihnen das nicht. Auch die allgemeine Menschenrechts-</w:t>
      </w:r>
    </w:p>
    <w:p>
      <w:r>
        <w:t>E-5955/2024 Seite 8 situation im Heimatstaat lässt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Usbekistan herrscht zurzeit weder ein kriegsähnlicher Zustand noch eine Situation allgemeiner Gewalt. Der Vollzug der Wegweisung dort- hin ist daher als generell zumutbar zu erachten (vgl. dazu Urteil des BVGer D-2721/2022 vom 8. Juni 2023 E. 8.3.1, m.w.H.).</w:t>
      </w:r>
    </w:p>
    <w:p>
      <w:r>
        <w:rPr>
          <w:b/>
        </w:rPr>
        <w:t>E. 8.3.3</w:t>
      </w:r>
    </w:p>
    <w:p>
      <w:r>
        <w:t>Sodann hat die Vorinstanz in der angefochtenen Verfügung zutref- fend ausgeführt, dass die Beschwerdeführenden zwar ein angespanntes Verhältnis mit der Familie des Beschwerdeführers hätten, nicht aber zur Familie der Beschwerdeführerin, mithin sie bei einer Rückkehr zumindest vorübergehend bei diesen über eine Wohnmöglichkeit verfügen würden. Sodann habe der Beschwerdeführer Arbeitserfahrungen in verschiedenen Branchen und sei diesbezüglich sehr flexibel. Auch der Beschwerdeführe- rin sei es zuzumuten, in einem gewissen Grad an den Unterhalt der Familie beizutragen. Schliesslich hätten die Kinder den grössten Teil ihres Lebens im Heimatland verbracht und würden über entsprechende Sprachkennt- nisse verfügen, so dass eine Rückkehr nach Usbekistan, auch unter dem Blickwinkel des Kindeswohls nichts entgegenstehe. Mit diesen zutreffen- den Erwägungen setzen sich die Beschwerdeführenden in der Rechtsmit- teleingabe nicht auseinander, weshalb ohne weiteres auf diese verwiesen werden kann.</w:t>
      </w:r>
    </w:p>
    <w:p>
      <w:r>
        <w:rPr>
          <w:b/>
        </w:rPr>
        <w:t>E. 8.3.4</w:t>
      </w:r>
    </w:p>
    <w:p>
      <w:r>
        <w:t>Nach dem Gesagten erweist sich der Vollzug der Wegweisung somit auch als zumutbar.</w:t>
      </w:r>
    </w:p>
    <w:p>
      <w:r>
        <w:rPr>
          <w:b/>
        </w:rPr>
        <w:t>E. 8.4</w:t>
      </w:r>
    </w:p>
    <w:p>
      <w:r>
        <w:t>Die Beschwerdeführenden verfügen allesamt über gültige usbekische Reisepässe, weshalb der Vollzug der Wegweisung auch als möglich zu be- zeichnen ist (Art. 83 Abs. 2 AIG).</w:t>
      </w:r>
    </w:p>
    <w:p>
      <w:r>
        <w:t>E-5955/2024 Seite 9</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Der am 9. Oktober 2024 geleistete Kostenvor- schuss in der Höhe von Fr. 750.– ist zur Bezahlung der Verfahrenskosten zu verwenden.</w:t>
      </w:r>
    </w:p>
    <w:p>
      <w:r>
        <w:t>(Dispositiv nächste Seite)</w:t>
      </w:r>
    </w:p>
    <w:p>
      <w:r>
        <w:t>E-5955/2024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