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E-5954/2013 vom 24. Oktober 2013</w:t>
      </w:r>
    </w:p>
    <w:p>
      <w:r>
        <w:t>Bundesverwaltungsgericht, 2013-10-24, DE</w:t>
      </w:r>
    </w:p>
    <w:p>
      <w:r>
        <w:rPr>
          <w:b/>
        </w:rPr>
        <w:t xml:space="preserve">Quelle: </w:t>
      </w:r>
      <w:r>
        <w:t>https://mcp.opencaselaw.ch/entscheid/bvger_E-5954_2013</w:t>
      </w:r>
    </w:p>
    <w:p>
      <w:r>
        <w:t>FR: TAF E-5954/2013 du 24 octobre 2013</w:t>
      </w:r>
    </w:p>
    <w:p>
      <w:r>
        <w:t>IT: TAF E-5954/2013 del 24 ottobre 2013</w:t>
      </w:r>
    </w:p>
    <w:p>
      <w:pPr>
        <w:pStyle w:val="Heading2"/>
      </w:pPr>
      <w:r>
        <w:t>Regeste</w:t>
      </w:r>
    </w:p>
    <w:p>
      <w:r>
        <w:t>Nichteintreten auf Asylgesuch (kein Asylgesuch gemäss AsylG)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formgenügend eingereichte Beschwerde (Art. 52 VwVG und Art. 108 Abs. 2 AsylG) ist insoweit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auf das Asylgesuch zu Recht nicht eingetreten ist. Insoweit ist auf die Anträge auf Feststellung der Flüchtlingseigenschaft und Gewährung von Asyl nicht einzutreten. Bezüglich der Wegweisung und des Wegweisungsvollzuges ist die Beurteilungskompetenz indes nicht beschränkt, da dies die Vorinstanz materiell geprüft hat (vgl. BVGE 2007/8 E. 2.1).</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32 Abs. 1 AsylG wird auf Asylgesuche, welche die Voraussetzungen von Art. 18 nicht erfüllen, nicht eingetreten. Als Asylgesuch gilt jede Äusserung, mit der eine Person zu erkennen gibt, dass sie die Schweiz um Schutz vor Verfolgung nachsucht (Art. 18 AsylG). Eine Person muss demnach zum Ausdruck bringen, sie werde in ihrem Heimatstaat oder im Land, in dem sie zuletzt wohnte, wegen ihrer Rasse, Religion, Nationalität, Zugehörigkeit zu einer bestimmten sozialen Gruppe oder ihrer politischen Anschauungen ernsthaften Nachteilen ausgesetzt zu werden oder habe begründete Furcht, solchen Nachteilen ausgesetzt (Art. 3 Abs. 1 AsylG) oder befürchte eine mit beachtlicher Wahrscheinlichkeit drohende, nach Art. 3 der Konvention vom 4. November 1950 zum Schutze der Menschenrechte und Grundfreiheiten (EMRK, SR 0.101) verbotene Strafe oder Behandlung, ausgesetzt zu werden.</w:t>
      </w:r>
    </w:p>
    <w:p>
      <w:r>
        <w:rPr>
          <w:b/>
        </w:rPr>
        <w:t>E. 3.2</w:t>
      </w:r>
    </w:p>
    <w:p>
      <w:r>
        <w:t>Die Vorinstanz stellt in der angefochtenen Verfügung fest, der Beschwerdeführer mache ausschliesslich ökonomische Gründe für seine Ausreise geltend. Probleme mit den heimatlichen Behörden, der Armee oder der Polizei verneine er. Damit liege kein Asylgesuch im Sinne von Art. 18 AsylG vor. Im Übrigen wären vorliegend auch die Voraussetzungen für die Anwendung von Art. 32 Abs. 2 Bst. a AsylG gegeben. Gemäss dieser Bestimmung werde auf ein Asylgesuch nicht eingetreten, wenn der Asylsuchende ohne entschuldbare Gründe den Behörden nicht innerhalb von 48 Stunden nach Einreichung des Gesuchs Reise- oder Identitätspapiere abgebe und nach Abschluss der Anhörung weder die Flüchtlingseigenschaft festgestellt werde noch zusätzliche Abklärungen zur Feststellung derselben oder eines Wegweisungsvollzugshindernisses nötig seien.</w:t>
      </w:r>
    </w:p>
    <w:p>
      <w:r>
        <w:rPr>
          <w:b/>
        </w:rPr>
        <w:t>E. 3.3</w:t>
      </w:r>
    </w:p>
    <w:p>
      <w:r>
        <w:t>Der vorinstanzliche Schluss ist nicht zu beanstanden. In der Rechtsmitteleingabe setzt sich der Beschwerdeführer mit den Erwägungen der Vorinstanz nicht ansatzweise auseinander. Er beschränkt sich auf das blosse Wiederholen des aktenkundigen Sachverhalts und den Hinweis darauf, dass er bei den B._______ C._______ spiele. Damit legt er aber nicht dar, inwiefern die Vorinstanz zu Unrecht davon ausgegangen sei, es liege kein Asylgesuch vor. Solches ist auch nicht ersichtlich. Die Vorinstanz ist demnach auf das Asylgesuch zu Recht nicht eingetreten.</w:t>
      </w:r>
    </w:p>
    <w:p>
      <w:r>
        <w:rPr>
          <w:b/>
        </w:rPr>
        <w:t>E. 4</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S.733). Die Wegweisung wurde demnach zu Recht verfügt.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Nach Art. 83 Abs. 3 AuG ist der Vollzug nicht zulässig, wenn völkerrechtliche Verpflichtungen der Schweiz einer Weiterreise des Ausländers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den Akten ergeben sich konkrete Anhaltspunkte dafür, dass er für den Fall einer Ausschaffung nach Gambia dort mit beachtlicher Wahrscheinlichkeit einer nach Art. 3 EMRK oder Art. 1 FoK verbotenen Strafe oder Behandlung ausgesetzt wäre. Der Vollzug der Wegweisung ist somit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 (vgl. ausführlich BVGE 2009/28 E. 9.3.1). Der Beschwerdeführer äussert sich in der Rechtsmitteleingabe nicht dazu, inwiefern für ihn der Vollzug der Wegweisung nicht zumutbar ist. Um Wiederholungen zu vermeiden, kann auf die Erwägungen in der angefochtenen Verfügung verwiesen werden.</w:t>
      </w:r>
    </w:p>
    <w:p>
      <w:r>
        <w:rPr>
          <w:b/>
        </w:rPr>
        <w:t>E. 5.4</w:t>
      </w:r>
    </w:p>
    <w:p>
      <w:r>
        <w:t>Nach Art. 83 Abs. 2 AuG ist der Wegweisungsvollzug auch als möglich zu bezeichnen. Es obliegt dem Beschwerdeführer, sich bei der zuständigen Vertretung seines Heimatlandes die für eine Rückkehr notwendigen Reisedokumente zu beschaffen (vgl. Art. 8 Abs. 4 AsylG und dazu BVGE 2008/34 E. 12).</w:t>
      </w:r>
    </w:p>
    <w:p>
      <w:r>
        <w:rPr>
          <w:b/>
        </w:rPr>
        <w:t>E. 5.5</w:t>
      </w:r>
    </w:p>
    <w:p>
      <w:r>
        <w:t>Zusammenfassend hat die Vorinstanz den Wegweisungsvollzug zu Recht als zulässig, zumutbar und möglich erachtet. Die Anordnung der vorläufigen Aufnahme fällt damit ausser Betracht (Art. 83 Abs. 1 - 4 AuG).</w:t>
      </w:r>
    </w:p>
    <w:p>
      <w:r>
        <w:rPr>
          <w:b/>
        </w:rPr>
        <w:t>E. 6</w:t>
      </w:r>
    </w:p>
    <w:p>
      <w:r>
        <w:t>Aus den vorstehenden Erwägungen ergibt sich, dass die angefochtene Verfügung Bundesrecht nicht verletzt und auch sonst nicht zu beanstanden ist (Art. 106 Abs. 1 AsylG). Die Beschwerde ist abzuweisen.</w:t>
      </w:r>
    </w:p>
    <w:p>
      <w:r>
        <w:rPr>
          <w:b/>
        </w:rPr>
        <w:t>E. 7.1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zur Gewährung der unentgeltlichen Prozessführung nicht gegeben, weshalb dem Gesuch nicht stattzugeben ist.</w:t>
      </w:r>
    </w:p>
    <w:p>
      <w:r>
        <w:rPr>
          <w:b/>
        </w:rPr>
        <w:t>E. 7.2</w:t>
      </w:r>
    </w:p>
    <w:p>
      <w:r>
        <w:t>Bei diesem Ausgang des Verfahrens sind die Kosten von Fr. 600.- (Art. 1 - 3 des Reglements vom 21. Februar 2008 über die Kosten und Entschädigungen vor dem Bundesverwaltungsgericht [VGKE], SR 173.320.2) dem Beschwerdeführer aufzuerlegen (Art. 63 Abs. 1 VwVG). Damit sind der Antrag auf Verzicht auf die Erhebung eines Kostenvorschusses sowie die übrigen prozessualen Anträge, einschliesslich jene betreffend Datenweitergabe, gegenstandslos geworden. Was den Antrag auf Erlass einer separaten Verfügung betreffend eine bereits erfolgte Datenweitergabe anbelangt, ist festzustellen, dass den Akten keine entsprechenden Hinweise zu entnehmen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