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E-5953/2016 vom 12. Juni 2017</w:t>
      </w:r>
    </w:p>
    <w:p>
      <w:r>
        <w:t>Bundesverwaltungsgericht, 2017-06-12, DE</w:t>
      </w:r>
    </w:p>
    <w:p>
      <w:r>
        <w:rPr>
          <w:b/>
        </w:rPr>
        <w:t xml:space="preserve">Quelle: </w:t>
      </w:r>
      <w:r>
        <w:t>https://mcp.opencaselaw.ch/entscheid/bvger_E-5953_2016</w:t>
      </w:r>
    </w:p>
    <w:p>
      <w:r>
        <w:t>FR: TAF E-5953/2016 du 12 juin 2017</w:t>
      </w:r>
    </w:p>
    <w:p>
      <w:r>
        <w:t>IT: TAF E-5953/2016 del 12 giugno 2017</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ist einzutreten (Art. 108 Abs. 2 AsylG und Art. 52 Abs. 1 VwVG).</w:t>
      </w:r>
    </w:p>
    <w:p>
      <w:r>
        <w:rPr>
          <w:b/>
        </w:rPr>
        <w:t>E. 2.1</w:t>
      </w:r>
    </w:p>
    <w:p>
      <w:r>
        <w:t>Mit Beschwerde kann die Verletzung von Bundesrecht (einschliesslich Missbrauch und Überschreitung des Ermessens) sowie die unrichtige oder unvollständige Feststellung des rechtserheblichen Sachverhalts gerügt werden (Art. 106 Abs. 1 AsylG). Im Ausländerrecht richtet sich die Kognition nach Art. 49 VwVG (vgl. BVGE 2014/26 E. 5).</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begründet und ist im Verfahren einzelrichterlicher Zuständigkeit mit Zustimmung eines zweiten Richters oder einer zweiten Richterin (Art. 111 Bst. e AsylG) ohne Weiterungen und mit summarischer Begründung zu behandeln (Art. 111a AsylG).</w:t>
      </w:r>
    </w:p>
    <w:p>
      <w:r>
        <w:rPr>
          <w:b/>
        </w:rPr>
        <w:t>E. 3.1</w:t>
      </w:r>
    </w:p>
    <w:p>
      <w:r>
        <w:t>Gemäss Art. 31a Abs. 1 Bst. b AsylG tritt die Vorinstanz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 Gemäss Art. 18 Abs. 1 Bst. b Dublin-III-VO ist der Mitgliedstaat verpflichtet, einen Antragsteller, der während der Prüfung eines Antrags in einem anderen Mitgliedstaat einen Antrag gestellt hat oder der sich im Hoheitsgebiet eines anderen Mitgliedstaats ohne Aufenthaltstitel aufhält, nach Massgabe der Art. 23, 24, 25 und 29 wieder aufzunehmen.</w:t>
      </w:r>
    </w:p>
    <w:p>
      <w:r>
        <w:rPr>
          <w:b/>
        </w:rPr>
        <w:t>E. 3.2</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3.3</w:t>
      </w:r>
    </w:p>
    <w:p>
      <w:r>
        <w:t>Erweist es sich als unmöglich, eine antragstellende Person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w:t>
      </w:r>
    </w:p>
    <w:p>
      <w:r>
        <w:t>Ein Abgleich der Fingerabdrücke des Beschwerdeführers mit der Eurodac-Datenbank ergab, dass dieser am 29. Juni 2016 in Ungarn ein Asylgesuch eingereicht hatte. Die ungarischen Behörden liessen das Übernahmeersuchen der Vorinstanz innert der in Art. 22 Abs. 1 Dublin-III-VO vorgesehenen Frist unbeantwortet, womit sie die Zuständigkeit Ungarns implizit anerkannten (Art. 22 Abs. 7 Dublin-III-VO). Die Zuständigkeit Ungarns ist somit grundsätzlich gegeben, was vom Beschwerdeführer auch unbestritten blieb.</w:t>
      </w:r>
    </w:p>
    <w:p>
      <w:r>
        <w:rPr>
          <w:b/>
        </w:rPr>
        <w:t>E. 5.1</w:t>
      </w:r>
    </w:p>
    <w:p>
      <w:r>
        <w:t>Der Beschwerdeführer bringt vor, eine Überstellung nach Ungarn verstosse wegen der drohenden Inhaftierung und der Haftbedingungen gegen Art. 5 Abs. 1 AsylG und infolgedessen gegen das Non-Refoulement Prinzip. Der Zugang zum ungarischen Asylverfahren würde ihm verwehrt bleiben. Zudem weise das ungarische Asylwesen systemische Mängel auf. Dies spreche für eine Selbsteintrittspflicht der Schweiz.</w:t>
      </w:r>
    </w:p>
    <w:p>
      <w:r>
        <w:rPr>
          <w:b/>
        </w:rPr>
        <w:t>E. 5.2</w:t>
      </w:r>
    </w:p>
    <w:p>
      <w:r>
        <w:t>Im Lichte von Art. 3 Abs. 2 Dublin-III-VO ist zu prüfen, ob es wesentliche Gründe für die Annahme gibt, das Asylverfahren und die Aufnahmebedingungen für Asylsuchende in Ungarn würden systemische Schwachstellen aufweisen, welche eine Gefahr einer unmenschlichen oder entwürdigenden Behandlung im Sinne des Art. 4 der EU-Grundrechtecharta mit sich bringen und folglich die grundsätzliche Zuständigkeit Ungarns im Sinne von Art. 3 Abs. 1 Dublin-III-VO durchbrechen würden.</w:t>
      </w:r>
    </w:p>
    <w:p>
      <w:r>
        <w:rPr>
          <w:b/>
        </w:rPr>
        <w:t>E. 5.3</w:t>
      </w:r>
    </w:p>
    <w:p>
      <w:r>
        <w:t>Das Bundesverwaltungsgericht hat im Urteil D-7853/2015 vom 31. Mai 2017 (vorgesehen zur Publikation als Referenzurteil) eingehend die Entwicklung der Situation für Asylsuchende in Ungarn, insbesondere für jene, die in Anwendung der Dublin-III-VO nach Ungarn überstellt werden, analysiert, unter Berücksichtigung des bedeutenden Migrationsstroms, welchen das Land im Sommer 2015 zu gewärtigen hatte. Es hat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laufenden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Staatssekretariat für Migration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Erwägung 13 des Urteils).</w:t>
      </w:r>
    </w:p>
    <w:p>
      <w:r>
        <w:rPr>
          <w:b/>
        </w:rPr>
        <w:t>E. 5.4</w:t>
      </w:r>
    </w:p>
    <w:p>
      <w:r>
        <w:t>Mit derselben Begründung, wie sie vorstehend dargelegt wurde, ist es dem Gericht vorliegend nicht möglich, die Vorbringen der Beschwerde vom 26. September 2016 zu beurteilen. Die angefochtene Verfügung ist folglich aufzuheben und die Sache zur vollständigen Sachverhaltsfeststellung sowie zu neuer Entscheidung an die Vorinstanz zurückzuweisen. Die Beschwerde ist somit gutzuheissen, ohne dass auf die weiteren Beschwerdevorbringen eingegangen werden müsste.</w:t>
      </w:r>
    </w:p>
    <w:p>
      <w:r>
        <w:rPr>
          <w:b/>
        </w:rPr>
        <w:t>E. 6.1</w:t>
      </w:r>
    </w:p>
    <w:p>
      <w:r>
        <w:t>Bei diesem Ausgang des Verfahrens sind keine Kosten zu erheben (Art. 63 Abs. 1 und 2 VwVG).</w:t>
      </w:r>
    </w:p>
    <w:p>
      <w:r>
        <w:rPr>
          <w:b/>
        </w:rPr>
        <w:t>E. 6.2</w:t>
      </w:r>
    </w:p>
    <w:p>
      <w:r>
        <w:t>Gemäss Art. 64 Abs. 1 VwVG in Verbindung mit Art. 37 VGG kann der obsiegenden Partei von Amtes wegen oder auf Begehren eine Entschädigung für die ihr erwachsenen notwendigen und verhältnismässig hohen Kosten zugesprochen werden (vgl. Art. 7 ff. des Reglements über die Kosten und Entschädigungen vor dem Bundesverwaltungsgericht vom 21. Februar 2008 [VGKE, SR 173.320.2]). Die Rechtsvertreterin des Beschwerdeführers hat eine Kostennote in der Höhe von Fr. 657.- (inkl. Auslagen und Mehrwertsteuer) eingereicht. Dieser Betrag ist dem Beschwerdeführer als Parteientschädigung zuzusprechen und durch die Vorinstanz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