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E-5950/2016 vom 14. Juni 2017</w:t>
      </w:r>
    </w:p>
    <w:p>
      <w:r>
        <w:t>Bundesverwaltungsgericht, 2017-06-14, DE</w:t>
      </w:r>
    </w:p>
    <w:p>
      <w:r>
        <w:rPr>
          <w:b/>
        </w:rPr>
        <w:t xml:space="preserve">Quelle: </w:t>
      </w:r>
      <w:r>
        <w:t>https://mcp.opencaselaw.ch/entscheid/bvger_E-5950_2016</w:t>
      </w:r>
    </w:p>
    <w:p>
      <w:r>
        <w:t>FR: TAF E-5950/2016 du 14 juin 2017</w:t>
      </w:r>
    </w:p>
    <w:p>
      <w:r>
        <w:t>IT: TAF E-5950/2016 del 14 giugno 2017</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legitimiert (Art. 48 VwVG). Auf die fristgerecht eingereichte Beschwerde (Art. 108 Abs. 2 AsylG, Art. 48 Abs. 1 und 52 VwVG) ist einzutreten.</w:t>
      </w:r>
    </w:p>
    <w:p>
      <w:r>
        <w:rPr>
          <w:b/>
        </w:rPr>
        <w:t>E. 2.1</w:t>
      </w:r>
    </w:p>
    <w:p>
      <w:r>
        <w:t>Mit Beschwerde kann die Verletzung von Bundesrecht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(BVGE 2011/9 E. 5, BVGE 2012/4 E. 2.2 m.w.H.).</w:t>
      </w:r>
    </w:p>
    <w:p>
      <w:r>
        <w:rPr>
          <w:b/>
        </w:rPr>
        <w:t>E. 2.3</w:t>
      </w:r>
    </w:p>
    <w:p>
      <w:r>
        <w:t>Die Beschwerde erweist sich - wie nachfolgend ausgeführt - als offensichtlich begründet und ist im Verfahren einzelrichterlicher Zuständigkeit mit Zustimmung eines zweiten Richters beziehungsweise einer zweiten Richterin (Art. 111 Bst. e AsylG) und mit summarischer Urteilsbegründung zu behandeln (Art. 111a Abs. 2 AsylG). Gestützt auf Art. 111a Abs. 1 AsylG wurde vorliegend auf einen Schriftenwechsel verzichtet.</w:t>
      </w:r>
    </w:p>
    <w:p>
      <w:r>
        <w:rPr>
          <w:b/>
        </w:rPr>
        <w:t>E. 3.1</w:t>
      </w:r>
    </w:p>
    <w:p>
      <w:r>
        <w:t>Das Bundesverwaltungsgericht hat im Urteil D-7853/2015 vom 31. Mai 2017 die Entwicklung der Situation für Asylsuchende in Ungarn eingehend analysiert; insbesondere für jene, die in Anwendung der Dublin-III-VO nach Ungarn überstellt werden. In diesem Urteil (vorgesehen zur Publikation als Referenzurteil) hat das Gericht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Es hat festgestellt, dass die Umsetzung dieses Aktes, welcher rückwirkend auf sämtliche laufenden Asylverfahren anwendbar ist und eine wesentliche Verschärfung der ungarischen Gesetzgebung mit sich bringt, zahlreiche Unsicherheiten und Fragen nach sich zieht. Es könne daher namentlich nicht mit Sicherheit ermittelt werden, ob Asylsuchende, die nach Ungarn überstellt werden, als nicht aufenthaltsberechtigte Personen angesehen und deshalb in sogenannte "Prätransit"-Zonen abgeschoben werden, oder ob sie als asylsuchende Personen betrachtet werden, deren Gesuche in den Transitzonen zu behandeln sind. Angesichts der zahlreichen Unsicherheiten, die diese neue Gesetzesänderung hinsichtlich des Verfahrenszugangs und der Aufnahmebedingungen mit sich gebracht hat, sei es dem Bundesverwaltungsgericht gemäss dem derzeitigen Stand der Dinge nicht möglich, das Vorliegen systemischer Schwachstellen im Sinne von Art. 3 Abs. 2 der Dublin-III-Verordnung sowie die Fragen im Zusammenhang mit tatsächlichen Gefahren ("real risk"), denen Asylsuchende bei einer Überstellung nach Ungarn ausgesetzt sein könnten, abschliessend zu beurteilen. Folglich hat es die angefochtene Verfügung aufgehoben und die Sache zur neuen Entscheidung an das Staatssekretariat für Migration zurückgewiesen. Es obliege der erstinstanzlichen Behörde, sämtliche Sachverhaltselemente zusammenzutragen, die zur Beurteilung dieser wesentlichen Fragen erforderlich seien, und es sei nicht die Aufgabe der Beschwerdeinstanz, komplexe ergänzende Abklärungen vorzunehmen. Das Bundesverwaltungsgericht würde sonst mit einem Sachentscheid seine Zuständigkeit überschreiten und die betroffene Partei um den gesetzlich vorgesehenen Instanzenzug bringen (vgl. insbesondere Erwägung 13 des Urteils).</w:t>
      </w:r>
    </w:p>
    <w:p>
      <w:r>
        <w:rPr>
          <w:b/>
        </w:rPr>
        <w:t>E. 3.2</w:t>
      </w:r>
    </w:p>
    <w:p>
      <w:r>
        <w:t>Mit derselben Begründung, wie sie vorstehend dargelegt wurde, ist es dem Gericht vorliegend nicht möglich, die Vorbringen der Beschwerde vom 26. September 2016 zu beurteilen. Die angefochtene Verfügung ist folglich aufzuheben und die Sache zur vollständigen Sachverhaltsfeststellung sowie zu neuer Entscheidung an die Vorinstanz zurückzuweisen. Die Beschwerde ist also gutzuheissen, ohne dass auf die weiteren Beschwerdevorbringen eingegangen werden müsste.</w:t>
      </w:r>
    </w:p>
    <w:p>
      <w:r>
        <w:rPr>
          <w:b/>
        </w:rPr>
        <w:t>E. 4.1</w:t>
      </w:r>
    </w:p>
    <w:p>
      <w:r>
        <w:t>Bei diesem Ausgang des Beschwerdeverfahrens sind keine Verfahrenskosten aufzuerlegen (vgl. Art. 63 Abs. 1 VwVG). Damit ist die mit Zwischenverfügung vom 4. Oktober 2016 gewährte unentgeltliche Prozessführung hinfällig geworden.</w:t>
      </w:r>
    </w:p>
    <w:p>
      <w:r>
        <w:rPr>
          <w:b/>
        </w:rPr>
        <w:t>E. 4.2</w:t>
      </w:r>
    </w:p>
    <w:p>
      <w:r>
        <w:t>Obsiegende Parteien haben Anspruch auf eine Parteientschädigung für die ihnen erwachsenen notwendigen Kosten (Art. 64 Abs. 1 VwVG, Art. 7 Abs. 1 und 4 des Reglements vom 21. Februar 2008 über die Kosten und Entschädigungen vor dem Bundesverwaltungsgericht [VGKE, SR 173.320.2]). Die Rechtsvertreterin macht einen Aufwand von Fr. 1'067.- (inkl. Barauslagen) geltend. Der Stundenaufwand erscheint angemessen, indes ist der Stundenansatz auf Fr. 150.- zu kürzen (vgl. Art. 12 i.V.m. Art. 10 Abs. 2 VGKE). Insgesamt ergibt dies einen Betrag von Fr. 829.50 (inkl. Barauslagen). Die Vorinstanz ist anzuweisen, dem Beschwerdeführer diesen Betrag als Parteientschädigung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