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E-5949/2015 vom 19. November 2015</w:t>
      </w:r>
    </w:p>
    <w:p>
      <w:r>
        <w:t>Bundesverwaltungsgericht, 2015-11-19, DE</w:t>
      </w:r>
    </w:p>
    <w:p>
      <w:r>
        <w:rPr>
          <w:b/>
        </w:rPr>
        <w:t xml:space="preserve">Quelle: </w:t>
      </w:r>
      <w:r>
        <w:t>https://mcp.opencaselaw.ch/entscheid/bvger_E-5949_2015</w:t>
      </w:r>
    </w:p>
    <w:p>
      <w:r>
        <w:t>FR: TAF E-5949/2015 du 19 novembre 2015</w:t>
      </w:r>
    </w:p>
    <w:p>
      <w:r>
        <w:t>IT: TAF E-5949/2015 del 19 novembre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(beziehungsweise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wurde in englischer Sprache und somit nicht in einer Amtssprache des Bundes abgefasst. Auf die Ansetzung einer Frist zur Beschwerdeverbesserung oder auf die Einholung einer Übersetzung kann indessen aus prozessökonomischen Gründen praxisgemäss verzichtet werden, zumal der Eingabe des Beschwerdeführers genügend klare, sinngemässe Rechtsbegehren sowie deren Begründung zu entnehmen sind und ohne Weiteres darüber befunden werden kann.</w:t>
      </w:r>
    </w:p>
    <w:p>
      <w:r>
        <w:rPr>
          <w:b/>
        </w:rPr>
        <w:t>E. 1.4</w:t>
      </w:r>
    </w:p>
    <w:p>
      <w:r>
        <w:t>Die Beschwerde ist fristgerecht und in der Form akzeptiert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nach dem Gesagten einzutreten.</w:t>
      </w:r>
    </w:p>
    <w:p>
      <w:r>
        <w:rPr>
          <w:b/>
        </w:rPr>
        <w:t>E. 1.5</w:t>
      </w:r>
    </w:p>
    <w:p>
      <w:r>
        <w:t>Gestützt auf Art. 33a Abs. 2 VwVG i.V.m. Art. 6 AsylG ergeht der vorliegende Entscheid in deutscher Sprache.</w:t>
      </w:r>
    </w:p>
    <w:p>
      <w:r>
        <w:rPr>
          <w:b/>
        </w:rPr>
        <w:t>E. 1.6</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(zur Frage der Auswirkung der Streichung von aArt. 106 Abs.1 Bst. c AsylG [Beschwerdegrund der Unangemessenheit] auf das Beschwerdeverfahren in Ausland-Asylverfahren, vgl. Urteil des Bundesverwaltungsgerichts BVGE 2015/2 E. 4 ff.).</w:t>
      </w:r>
    </w:p>
    <w:p>
      <w:r>
        <w:rPr>
          <w:b/>
        </w:rPr>
        <w:t>E. 3</w:t>
      </w:r>
    </w:p>
    <w:p>
      <w:r>
        <w:t>Die Möglichkeit, im Ausland ein Asylgesuch bei einer Schweizer Vertretung zu stellen, ist mit Wirkung ab 29. September 2012 aufgehoben worden, wobei für Asylgesuche, die - wie vorliegend - vor dem Inkrafttreten gestellt worden sind, die aArt. 12, 19, 20, 41 Abs. 2, Art. 52 und 68 in der bisherigen Fassung des Asylgesetzes gelten (Übergangsbestimmung zur Änderung vom 28. September 2012; AS 2012 5359).</w:t>
      </w:r>
    </w:p>
    <w:p>
      <w:r>
        <w:rPr>
          <w:b/>
        </w:rPr>
        <w:t>E. 4.1</w:t>
      </w:r>
    </w:p>
    <w:p>
      <w:r>
        <w:t>Gemäss aArt. 19 Abs. 1 AsylG kann ein Asylgesuch im Ausland bei einer schweizerischen Vertretung gestellt werden, welche es mit einem Bericht an das SEM überweist (aArt. 20 Abs. 1 AsylG). Einer Person, die im Ausland ein Asylgesuch gestellt hat, ist die Einreise in die Schweiz zu bewilligen, wenn eine unmittelbare Gefahr für Leib, Leben oder Freiheit glaubhaft gemacht wird, die ihr wegen ihrer Rasse, Religion, Nationalität, Zugehörigkeit zu einer bestimmten sozialen Gruppe oder wegen ihrer politischen Anschauungen droht (aArt. 20 Abs. 3 AsylG, Art.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vgl. BVGE 2011/10 E. 3.3, mit Hinweisen auf die bisherige Praxis). Asyl - und damit die Einreise in die Schweiz - ist zu verweigern, wenn keine Hinweise auf eine aktuelle Gefährdung im Sinn von Art. 3 AsylG vorliegen oder der Person zuzumuten ist, sich in einem Drittstaat um Aufnahme zu bemühen (aArt. 52 Abs. 2 AsylG).</w:t>
      </w:r>
    </w:p>
    <w:p>
      <w:r>
        <w:rPr>
          <w:b/>
        </w:rPr>
        <w:t>E. 4.2</w:t>
      </w:r>
    </w:p>
    <w:p>
      <w:r>
        <w:t>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m.w.H.).</w:t>
      </w:r>
    </w:p>
    <w:p>
      <w:r>
        <w:rPr>
          <w:b/>
        </w:rPr>
        <w:t>E. 5.1</w:t>
      </w:r>
    </w:p>
    <w:p>
      <w:r>
        <w:t>Nach Durchsicht der Akten kommt das Bundesverwaltungsgericht in Übereinstimmung mit der Vorinstanz zum Schluss, dass es dem Beschwerdeführer nicht gelungen ist, eine aktuelle Gefährdung im Sinne von Art. 3 AsylG aufzuzeigen, welche die Bewilligung der Einreise in die Schweiz rechtfertigen würde.</w:t>
      </w:r>
    </w:p>
    <w:p>
      <w:r>
        <w:rPr>
          <w:b/>
        </w:rPr>
        <w:t>E. 5.2</w:t>
      </w:r>
    </w:p>
    <w:p>
      <w:r>
        <w:t>Zwar ist nicht in Abrede zu stellen, dass der Beschwerdeführer, welcher sich eigenen Angaben zufolge im Einflussgebiet der LTTE aufgehalten, ein Basistraining absolviert und etwa drei Monate lang in einem Rehabilitationscamp verbracht habe, regelmässig einer scharfen Polizeikontrolle ausgesetzt zu sein scheint. Durch derartig repressive Kontrollmassnahmen steuert Sri Lanka in die Richtung eines Polizeistaates. Dass der Beschwerdeführer die von ihm geltend gemachten Belästigungen durch den CID nicht zuletzt vor dem Hintergrund der furchtbaren Ereignisse in den Kriegsjahren und seiner dreimonatigen Rehabilitationshaft subjektiv als Bedrohung wahrnimmt, ist durchaus nachvollziehbar. Wie die Vorinstanz indes zu Recht festhielt, weisen diese Vorkommnisse in einem objektiven Licht betrachtet nicht die Intensität einer asylrelevanten Verfolgung auf. Den Schilderungen des Beschwerdeführers sind auch keine Anhaltspunkte dafür zu entnehmen, dass er an Leib und Leben respektive nochmals mit einem Freiheitsentzug bedroht wurde. Namentlich geht er [seiner Ausbildung] nach und fällt insbesondere nicht durch politische Aktivitäten (...) auf (vgl. im Einzelnen zur erhöhten Verfolgungsgefahr von bestimmten Risikogruppen BVGE 2011/24 E. 8). Sodann dürften ihn die Behelligungen aus objektiver Sicht nicht in die vom Asylgesetz geforderte Zwangslage versetzt haben, welche ihm und seiner Familie ein menschenwürdiges Leben in Sri Lanka verunmöglicht oder in unzumutbarem Ausmass erschwert hätte (vgl. BVGE 2010/28 E. 3.3.1.1). Auch die Rechtsmitteleingabe vermag keine neuen Erkenntnisse im Zusammenhang mit Massnahmen oder Übergriffen des CID aufzuzeigen. Schliesslich ist nicht auszuschliessen, dass er sich den Befragungen des CID in seinem Elternhaus durch einen definitiven Wegzug nach E.________, wo er gemäss eigenen Angaben über ein Zimmer verfüge, zumindest teilweise beziehungsweise temporär entziehen könnte.</w:t>
      </w:r>
    </w:p>
    <w:p>
      <w:r>
        <w:rPr>
          <w:b/>
        </w:rPr>
        <w:t>E. 5.3</w:t>
      </w:r>
    </w:p>
    <w:p>
      <w:r>
        <w:t>Folglich vermag der Beschwerdeführer nicht nachvollziehbar darzulegen, inwiefern seine Furcht vor ernsthaften Nachteilen bei einem Verbleib in Sri Lanka aus objektiver Sicht konkret begründet wäre. Aufgrund dieser Sachlage ist das Vorliegen einer einreiserelevanten akuten Gefährdung beziehungsweise eine Schutzbedürftigkeit zu verneinen. Die Vorinstanz hat demnach zu Recht dem Beschwerdeführer die Erteilung der Einreisebewilligung verweigert und sein Asylgesuch abgelehnt.</w:t>
      </w:r>
    </w:p>
    <w:p>
      <w:r>
        <w:rPr>
          <w:b/>
        </w:rPr>
        <w:t>E. 6</w:t>
      </w:r>
    </w:p>
    <w:p>
      <w:r>
        <w:t>Aus diesen Erwägungen ergibt sich, dass die angefochtene Verfügung Bundesrecht nicht verletzt, den rechtserheblichen Sachverhalt richtig und vollständig feststellt und auch sonst nicht zu beanstanden ist (Art. 106 Abs. 1 AsylG). Die Beschwerde ist nach dem Gesagten abzuweisen.</w:t>
      </w:r>
    </w:p>
    <w:p>
      <w:r>
        <w:rPr>
          <w:b/>
        </w:rPr>
        <w:t>E. 7</w:t>
      </w:r>
    </w:p>
    <w:p>
      <w:r>
        <w:t>Bei diesem Ausgang des Verfahrens wären die Kosten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