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E-5948/2009 vom 22. Oktober 2009</w:t>
      </w:r>
    </w:p>
    <w:p>
      <w:r>
        <w:t>Bundesverwaltungsgericht, 2009-10-22, DE</w:t>
      </w:r>
    </w:p>
    <w:p>
      <w:r>
        <w:rPr>
          <w:b/>
        </w:rPr>
        <w:t xml:space="preserve">Quelle: </w:t>
      </w:r>
      <w:r>
        <w:t>https://mcp.opencaselaw.ch/entscheid/bvger_E-5948_2009</w:t>
      </w:r>
    </w:p>
    <w:p>
      <w:r>
        <w:t>FR: TAF E-5948/2009 du 22 octobre 2009</w:t>
      </w:r>
    </w:p>
    <w:p>
      <w:r>
        <w:t>IT: TAF E-5948/2009 del 22 ottobre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gutgeheissen.</w:t>
      </w:r>
    </w:p>
    <w:p>
      <w:r>
        <w:rPr>
          <w:b/>
        </w:rPr>
        <w:t>E. 2</w:t>
      </w:r>
    </w:p>
    <w:p>
      <w:r>
        <w:t>Das Urteil des Bundesverwaltungsgerichts vom 11. September 2009 wird bezüglich des Wegweisungsvollzugs aufgehoben. Das Beschwerdeverfahren wird diesbezüglich wieder aufgenommen.</w:t>
      </w:r>
    </w:p>
    <w:p>
      <w:r>
        <w:rPr>
          <w:b/>
        </w:rPr>
        <w:t>E. 3</w:t>
      </w:r>
    </w:p>
    <w:p>
      <w:r>
        <w:t>Für das Revisionsverfahren werden keine Kosten auferlegt.</w:t>
      </w:r>
    </w:p>
    <w:p>
      <w:r>
        <w:rPr>
          <w:b/>
        </w:rPr>
        <w:t>E. 4</w:t>
      </w:r>
    </w:p>
    <w:p>
      <w:r>
        <w:t>Der Gesuchstellerin wird keine Parteientschädigung zugesprochen.</w:t>
      </w:r>
    </w:p>
    <w:p>
      <w:r>
        <w:rPr>
          <w:b/>
        </w:rPr>
        <w:t>E. 5</w:t>
      </w:r>
    </w:p>
    <w:p>
      <w:r>
        <w:t>Dieses Urteil geht an die Gesuchstellerin, das BFM und die zuständige kantonale Behörde. Der Einzelrichter: Die Gerichtsschreiberin: Walter Stöckli Esther Karpathakis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