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E-5945/2016 vom 23. Februar 2017</w:t>
      </w:r>
    </w:p>
    <w:p>
      <w:r>
        <w:t>Bundesverwaltungsgericht, 2017-02-23, DE</w:t>
      </w:r>
    </w:p>
    <w:p>
      <w:r>
        <w:rPr>
          <w:b/>
        </w:rPr>
        <w:t xml:space="preserve">Quelle: </w:t>
      </w:r>
      <w:r>
        <w:t>https://mcp.opencaselaw.ch/entscheid/bvger_E-5945_2016</w:t>
      </w:r>
    </w:p>
    <w:p>
      <w:r>
        <w:t>FR: TAF E-5945/2016 du 23 février 2017</w:t>
      </w:r>
    </w:p>
    <w:p>
      <w:r>
        <w:t>IT: TAF E-5945/2016 del 23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richtet sich gegen Dispositiv Ziffer 1 (Flüchtlingseigenschaft), Ziffer 2 (Asyl) und Ziffer 3 (Wegweisung) der angefochtenen Verfügung. Der Wegweisungsvollzug wurde zugunsten einer vorläufigen Aufnahme aufgeschoben und bildet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Beschwerdeführerin macht im Wesentlichen geltend, sie gehöre der Pfingstgemeinde an und sei illegal aus Eritrea ausgereist, weil sie ihre Religion nicht frei habe ausüben können.</w:t>
      </w:r>
    </w:p>
    <w:p>
      <w:r>
        <w:rPr>
          <w:b/>
        </w:rPr>
        <w:t>E. 4.2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(zur Publikation als Referenzurteil vorgesehen)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4.3</w:t>
      </w:r>
    </w:p>
    <w:p>
      <w:r>
        <w:t>Was die Vorfluchtgründe anbelangt, so sind - entgegen den Beschwerdeausführungen mit Verweisen auf die Rechtsprechung des Europäischen Gerichtshofs für Menschenrechte - klare asylrelevante Aussagen, die in einer Erstbefragung von den späteren Aussagen diametral abweichen oder bestimmte Ereignisse oder Befürchtungen, die nicht ansatzweise erwähnt werden, praxisgemäss Widersprüche, die im Rahmen der Beweiswürdigung zu berücksichtigen sind (so bereits EMARK 1993/3 E. 3 S. 13). Die Beschwerdeführerin führte in der Erstbefragung - unter Hinweis auf die Mitwirkungs- und Wahrheitspflicht - aus, sie habe ihr Leben retten wollen, bevor etwas passiere und bestätigte, nie Probleme mit den Behörden oder Privatpersonen gehabt zu haben (SEM-Akten, A3, S. 8 f.). Anlässlich der weiteren Befragungen schilderte sie indes einen für ihren Ausreiseentschluss zentralen Vorfall mit den Behörden, womit dieser als nachgeschoben gilt, mithin der Glaubhaftigkeit der Fluchtgeschichte der Boden entzogen ist. Eine Aufforderung, die Beschwerdeführerin solle sich kurz halten, ist dem Erstbefragungsprotokoll nicht zu entnehmen. Die Befragungstechnik ist auch nicht zu beanstanden. So wurde die Frage zu den Asylgründen offen sowie ohne Einschränkungen gestellt und es folgten bereits in der Erstbefragung 22 weitere Fragen zu den Asylgründen (SEM-Akten, A3, S. 8 ff.). Mithin gehen die entsprechenden Rügen und Erklärungsversuche auf Beschwerdeebene ins Leere. Hinzu kommt, dass es bereits an einem zeitlichen Kausalzusammenhang zwischen der angeblichen Annahme des neuen Glaubens und der Ausreise aus Eritrea erst knapp zwei Jahre später fehlt (z. B. SEM-Akten, A21, S. 5, F43). Sodann soll - neben dem in der Zweitbefragung nachgeschobenen Behördenkontakt - kein weiterer Behördenkontakt stattgefunden haben, was auf Beschwerdeebene bestätigt wird (Beschwerde S. 7). Unabhängig von der Frage der Glaubhaftigkeit einer Konversion im Heimatland ist somit diesbezüglich festzuhalten, dass die Beschwerdeführerin nicht aufgezeigt hat, Behelligungen von hinlänglicher Intensität ihres Glaubens wegen erlebt zu haben oder in begründeter Weise für die absehbare Zukunft befürchten zu müssen (zur Pfingstgemeinde in Eritrea in diesem Sinne Urteil des BVGer E-6970/2014 vom 2. August 2016, insb. E. 4.3.4). Schliesslich erschöpfen sich die Schilderungen in Eindimensionalität, mithin sind diese zu oberflächlich ausgefallen, um den Anforderungen gerecht zu werden, die an das Vorliegen eines zusätzlichen Anknüpfungspunkts gestellt werden. Die Verweise auf Berichte und Rechtsprechung und insbesondere auf die Bestätigung des Gottesdienstbesuchs in der Schweiz sind nicht geeignet, am Beweisergebnis etwas zu ändern. Die Beschwerde stellt der vorinstanzlichen Schlussfolgerung zum Vorfluchtgrund nichts Stichhaltiges entgegen. Nachdem die Beschwerdeführerin neben der illegalen Ausreise keine zusätzlichen Anknüpfungspunkte für eine Verschärfung ihres Profils zu belegen oder mindestens glaubhaft zu machen vermag, lässt sich keine asylrechtlich beachtliche Verfolgung annehmen. Aufgrund der Bestätigung der Praxisänderung der Vorinstanz im oben genannten Urteil, ist hier auf die Beschwerdeausführungen zur Rechtsprechung sowie zu Berichten betreffend die illegale Ausreise nicht weiter einzugehen. Aus demselben Grund sind die entsprechenden Rügen unbegründet. Nach dem Gesagten vermögen die weiteren Beschwerdeausführungen am Beweisergebnis ebenfalls nichts zu ändern. Indem die Vorinstanz eine vorläufige Aufnahme anordnete, hat sie den Umständen des Einzelfalls ausreichend Rechnung getragen. Um Wiederholungen zu vermeiden, ist auf das erwähnte Koordinationsurteil des Bundesverwaltungsgerichts sowie die zutreffenden Erwägungen der Vorinstanz zu verweisen, die zu Recht die Flüchtlingseigenschaft verneint und das Asylgesuch der Beschwerdeführerin abgelehnt hat.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Es sind keine Verfahrenskosten zu erheben. Die Gesuche um Gewährung der unentgeltlichen Prozessführung und Verzicht der Erhebung eines Kostenvorschusses wurden bereits mit Zwischenverfügung vom 4. Oktober 2016 gemäss Art. 65 Abs. 1 VwVG gutgeheissen.</w:t>
      </w:r>
    </w:p>
    <w:p>
      <w:r>
        <w:rPr>
          <w:b/>
        </w:rPr>
        <w:t>E. 7.2</w:t>
      </w:r>
    </w:p>
    <w:p>
      <w:r>
        <w:t>Dem vom Gericht am 4. Oktober 2016 bestellten Rechtsbeistand ist eine Entschädigung zu Lasten des Gerichts auszurichten (Art. 65 Abs. 5 VwVG und Art. 12 i.V.m. Art. 8 ff. des Reglements vom 21. Februar 2008 über die Kosten und Entschädigungen vor dem Bundesverwaltungsgericht [VGKE, SR 173.320.2]). Es wurde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Rechtsvertreter ist durch das Bundesverwaltungsgericht ein amtliches Honorar gestützt auf die in Betracht zu ziehenden Bemessungsfaktoren (Art. 9-13 VGKE) in der Höhe von Fr. 1'200.-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