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E-5941/2016 vom 7. Oktober 2016</w:t>
      </w:r>
    </w:p>
    <w:p>
      <w:r>
        <w:t>Bundesverwaltungsgericht, 2016-10-07, DE</w:t>
      </w:r>
    </w:p>
    <w:p>
      <w:r>
        <w:rPr>
          <w:b/>
        </w:rPr>
        <w:t xml:space="preserve">Quelle: </w:t>
      </w:r>
      <w:r>
        <w:t>https://mcp.opencaselaw.ch/entscheid/bvger_E-5941_2016</w:t>
      </w:r>
    </w:p>
    <w:p>
      <w:r>
        <w:t>FR: TAF E-5941/2016 du 7 octobre 2016</w:t>
      </w:r>
    </w:p>
    <w:p>
      <w:r>
        <w:t>IT: TAF E-5941/2016 del 7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3.1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Die italienischen Behörden liessen das Übernahmeersuchen des SEM innert der in Art. 22 Abs. 1 Dublin-III-VO vorgesehenen Frist unbeantwortet, womit sie die Zuständigkeit Italiens implizit anerkannten (Art. 22 Abs. 7 Dublin-III-VO). Die Zuständigkeit Italiens ist somit grundsätzlich gegeben.</w:t>
      </w:r>
    </w:p>
    <w:p>
      <w:r>
        <w:rPr>
          <w:b/>
        </w:rPr>
        <w:t>E. 3.2</w:t>
      </w:r>
    </w:p>
    <w:p>
      <w:r>
        <w:t>Der Beschwerdeführer bringt gegen seine Überstellung nach Italien im Wesentlichen vor, er habe in Italien vor Gericht als Zeuge gegen einen Schlepper ausgesagt. Der Schlepper sei daraufhin vom Gericht zu drei Jahren Gefängnis verurteilt worden. Anschliessend sei er in dasselbe Flüchtlingslager gebracht worden, in dem sich Mitarbeiter des Schleppers aufhielten. Diese hätten ihm mit dem Tode gedroht. Deshalb sei er in die Schweiz geflüchtet. Italien habe gemäss einem Zeitungsartikel 40 sudanesische Flüchtlinge in den Sudan deportiert, was gegen die internationalen Menschenrechte und -konventionen verstosse. Im Falle einer Überstellung nach Italien bestehe deshalb eine erhebliche Gefahr, dass seine Grundrechte verletzt würden.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Verfahrensrichtlinie, die Qualifikationsrichtlinie und die Aufnahmerichtlinie des Europäischen Parlaments und Rats. Sodann hat der Europäische Gerichtshof für Menschenrechte (EGMR) in Bezug auf Italien keine systemische Mängel an Unterstützung und Einrichtungen für Asylsuchende festgestellt (vgl. Urteil des EGMR Mohammed Hussein und andere gegen Niederlande vom 2. April 2013, 27725/10; vgl. auch Urteil des EGMR A.S. gegen Schweiz vom 30. Juni 2015, 39350/13). Mit dem blossen Hinweis auf einen Zeitungsartikel über die Abschiebung von 40 sudanesischen Flüchtlingen durch die italienischen Behörden legt der Beschwerdeführer nicht substantiiert dar, inwiefern Italien in seinem Fall seine staatsvertraglichen Verpflichtungen missachte und er einer menschenunwürdigen oder erniedrigenden Behandlung ausgesetzt wäre (Art. 3 EMRK), zumal der Beschwerdeführer in Italien ein Asylgesuch stellen kann und die Vorinstanz zu Recht festgestellt hat, dass keine konkreten Hinweise dafür vorliegen, dass Italien die Asyl- und Wegweisungsverfahren nicht korrekt durchführt. Das Vorbringen des Beschwerdeführers, er habe als Zeuge gegen einen Schlepper ausgesagt und hätte bei einer Rückkehr nach Italien durch dessen Mitarbeiter Nachteile zu befürchten, erscheint unglaubhaft. Bei der Befragung gab der Beschwerdeführer an, im Falle einer Wegweisung würde ihm in Italien nichts passieren, aber er wolle in der Schweiz Asyl erhalten. Erst im Rahmen des Beschwerdeverfahrens erwähnte er die Geschichte mit dem Schlepper, weshalb diese als Schutzbehauptung anzusehen ist. Aber selbst wenn dieses Vorbringen glaubhaft wäre, so ist darauf hinzuweisen, dass Italien ein Rechtsstaat ist, der über eine funktionierende Polizeibehörde verfügt, die als schutzwillig und schutzfähig gilt. Es wäre dem Beschwerdeführer deshalb zuzumuten, sich bei befürchteten Nachteilen an die zuständigen staatlichen Stellen in Italien zu wenden. Art. 3 Abs. 2 Satz 2 Dublin-III-VO greift somit nicht. Hinzuzufügen ist, dass es sich beim Beschwerdeführer um einen gesunden, erwachsenen Mann handelt, weshalb für die Dublin-Überstellung auch keine individuellen Garantien von den italienischen Behörden einzuholen sind (Urteil des EGMR Tarakhel gegen die Schweiz vom 4. November 2014, 29217/12 und BVGE 2015/4 E. 4.1).</w:t>
      </w:r>
    </w:p>
    <w:p>
      <w:r>
        <w:rPr>
          <w:b/>
        </w:rPr>
        <w:t>E. 3.3</w:t>
      </w:r>
    </w:p>
    <w:p>
      <w:r>
        <w:t>Aus den Erwägungen ergibt sich, dass die angefochtene Verfügung kein Bundesrecht verletzt und auch sonst nicht zu beanstanden ist (Art. 106 AsylG und Art. 49 VwVG). Die Beschwerde ist somit abzuweisen.</w:t>
      </w:r>
    </w:p>
    <w:p>
      <w:r>
        <w:rPr>
          <w:b/>
        </w:rPr>
        <w:t>E. 4</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