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E-5938/2012 vom 4. Dezember 2012</w:t>
      </w:r>
    </w:p>
    <w:p>
      <w:r>
        <w:t>Bundesverwaltungsgericht, 2012-12-04, FR</w:t>
      </w:r>
    </w:p>
    <w:p>
      <w:r>
        <w:rPr>
          <w:b/>
        </w:rPr>
        <w:t xml:space="preserve">Quelle: </w:t>
      </w:r>
      <w:r>
        <w:t>https://mcp.opencaselaw.ch/entscheid/bvger_E-5938_2012</w:t>
      </w:r>
    </w:p>
    <w:p>
      <w:r>
        <w:t>FR: TAF E-5938/2012 du 4 décembre 2012</w:t>
      </w:r>
    </w:p>
    <w:p>
      <w:r>
        <w:t>IT: TAF E-5938/2012 del 4 dicembre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rejetée, dans la mesure où elle est recevable.</w:t>
      </w:r>
    </w:p>
    <w:p>
      <w:r>
        <w:rPr>
          <w:b/>
        </w:rPr>
        <w:t>E. 2</w:t>
      </w:r>
    </w:p>
    <w:p>
      <w:r>
        <w:t>Les frais de procédure, d'un montant de 1200 francs, sont mis à la charge du demandeur.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demandeur, à l'ODM et à l'autorité cantonale compétente. Le président du collège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