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E-5933/2016 vom 28. Februar 2017</w:t>
      </w:r>
    </w:p>
    <w:p>
      <w:r>
        <w:t>Bundesverwaltungsgericht, 2017-02-28, DE</w:t>
      </w:r>
    </w:p>
    <w:p>
      <w:r>
        <w:rPr>
          <w:b/>
        </w:rPr>
        <w:t xml:space="preserve">Quelle: </w:t>
      </w:r>
      <w:r>
        <w:t>https://mcp.opencaselaw.ch/entscheid/bvger_E-5933_2016</w:t>
      </w:r>
    </w:p>
    <w:p>
      <w:r>
        <w:t>FR: TAF E-5933/2016 du 28 février 2017</w:t>
      </w:r>
    </w:p>
    <w:p>
      <w:r>
        <w:t>IT: TAF E-5933/2016 del 28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Im Asyl- und Wegweisungspunkt wird die Verfügung von ihm nicht angefochten und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4.2</w:t>
      </w:r>
    </w:p>
    <w:p>
      <w:r>
        <w:t>Der Beschwerdeführer wendet dagegen ein, die von der Vorinstanz vorgenommene Praxisänderung entbehre jeglicher Grundlage. Es würden keine Herkunftsländerinformationen vorliegen, welche eine solche zu begründen vermögen würden. Es sei nicht gesichert, dass die gesetzlich vorgesehenen Strafen nicht angewendet werden würden und freiwillige Rückkehrer nicht in den Fokus der Behörden geraten würden. Die von der Vorinstanz vorgenommene Praxisänderung sei somit nicht zulässig. Er habe die illegale Ausreise glaubhaft geschildert, weshalb er die Flüchtlingseigenschaft erfülle. Zudem habe die Vorinstanz den Anspruch auf rechtliches Gehör verletzt. Sie habe sich ungenügend zur vorgenommenen Praxisänderung geäussert und habe die illegale Ausreise, welche erheblich und entscheidrelevant sei, nur wenig thematisiert. Die Vorinstanz habe daher ihre Begründungspflicht verletzt.</w:t>
      </w:r>
    </w:p>
    <w:p>
      <w:r>
        <w:rPr>
          <w:b/>
        </w:rPr>
        <w:t>E. 4.3</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4.3). Nachdem das Bundesverwaltungsgericht die Praxisänderung der Vorinstanz bestätigt und die illegale Ausreise als für sich allein flüchtlingsrechtlich nicht relevant qualifiziert hat, gibt es keinen Grund, eine Verletzung des rechtlichen Gehörs in Form der Begründungspflicht wegen ungenügender Äusserung zur Praxisänderung und zur illegalen Ausreise anzunehmen, wie es der Beschwerdeführer auf Beschwerdeebene vorbringt. Dieser weist neben der illegalen Ausreise keine zusätzlichen Anknüpfungspunkte für eine Verschärfung seines Profils auf, weshalb sich keine asylrechtlich beachtliche Verfolgung annehmen lässt. Aus den eingereichten Beweismitteln kann der Beschwerdeführer nichts zu seinen Gunsten ableiten.</w:t>
      </w:r>
    </w:p>
    <w:p>
      <w:r>
        <w:rPr>
          <w:b/>
        </w:rPr>
        <w:t>E. 4.5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Bei diesem Ausgang des Verfahrens wären die Kosten dem Beschwerdeführer aufzuerlegen (Art. 63 Abs. 1 VwVG). Da der Antrag auf Gewährung der unentgeltlichen Prozessführung mit Zwischenverfügung vom 30. September 2016 gutgeheissen wurde, sind keine Kosten zu erheben.</w:t>
      </w:r>
    </w:p>
    <w:p>
      <w:r>
        <w:rPr>
          <w:b/>
        </w:rPr>
        <w:t>E. 6.2</w:t>
      </w:r>
    </w:p>
    <w:p>
      <w:r>
        <w:t>Mit Zwischenverfügung vom 30. September 2016 wurde dem Beschwerdeführer die unentgeltliche Rechtsverbeiständung gewährt und Ass. iur. Christian Hoffs als amtlicher Vertreter eingesetzt. Dem amtlichen Vertreter ist durch das Bundesverwaltungsgericht ein amtliches Honorar gemäss der eingereichten Kostennote in der Höhe von Fr. 552.50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