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E-5932/2022 vom 3. Januar 2023</w:t>
      </w:r>
    </w:p>
    <w:p>
      <w:r>
        <w:t>Bundesverwaltungsgericht, 2023-01-03, DE</w:t>
      </w:r>
    </w:p>
    <w:p>
      <w:r>
        <w:rPr>
          <w:b/>
        </w:rPr>
        <w:t xml:space="preserve">Quelle: </w:t>
      </w:r>
      <w:r>
        <w:t>https://mcp.opencaselaw.ch/entscheid/bvger_E-5932_2022</w:t>
      </w:r>
    </w:p>
    <w:p>
      <w:r>
        <w:t>FR: TAF E-5932/2022 du 3 janvier 2023</w:t>
      </w:r>
    </w:p>
    <w:p>
      <w:r>
        <w:t>IT: TAF E-5932/2022 del 3 gennaio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(SR 142.31) i.V.m. Art. 31 VGG ist das Bundesverwaltungsgericht zur Beurteilung von Beschwerden auf dem Gebiet des Asyls zuständig und entscheidet über diese in der Regel - wie auch vorliegend - endgültig (vgl. Art. 83 Bst. d Ziff. 1 BGG). Der Beschwerdeführer ist zur Beschwerdeführung legitimiert (Art. 48 Abs. 1 VwVG). Auf die frist- und formgerecht eingereichte Beschwerde ist einzutreten (Art. 108 Abs. 3 AsylG und Art. 52 Abs. 1 VwVG).</w:t>
      </w:r>
    </w:p>
    <w:p>
      <w:r>
        <w:rPr>
          <w:b/>
        </w:rPr>
        <w:t>E. 1.2</w:t>
      </w:r>
    </w:p>
    <w:p>
      <w:r>
        <w:t>Das Verfahren richtet sich nach dem VwVG, dem VGG und dem BGG, soweit das AsylG nichts anderes bestimmt (Art. 37 VGG und Art. 6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die Vorinstanz ablehnt, das Asylgesuch auf seine Begründetheit hin zu überprüfen (Art. 31a Abs. 1 AsylG), ist die Beurteilungskompetenz des Gerichts grundsätzlich auf die Frage beschränkt, ob die Vorinstanz zu Recht auf das Asylgesuch nicht eingetreten ist (vgl. BVGE 2017 VI/5 E. 3.1; 2012/4 E. 2.2, je m.w.H.). Die Fragen der Anerkennung der Flüchtlingseigenschaft, der Gewährung von Asyl sowie der Anordnung der vorläufigen Aufnahme bilden demgegenüber nicht Gegenstand des angefochtenen Nichteintretensentscheids und damit auch nicht des vorliegenden Verfahrens, weshalb auf die entsprechenden Anträge nicht einzutreten ist.</w:t>
      </w:r>
    </w:p>
    <w:p>
      <w:r>
        <w:rPr>
          <w:b/>
        </w:rPr>
        <w:t>E. 2.3</w:t>
      </w:r>
    </w:p>
    <w:p>
      <w:r>
        <w:t>Die Ziffer 6 des Dispositivs des Nichteintretensentscheids (Änderung des Geburtsdatums des Beschwerdeführers im ZEMIS) wird nicht explizit angefochten, weshalb diese Ziffer in Rechtskraft erwachsen ist.</w:t>
      </w:r>
    </w:p>
    <w:p>
      <w:r>
        <w:rPr>
          <w:b/>
        </w:rPr>
        <w:t>E. 2.4</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 Vom Wiederaufnahmeverfahren ausgeschlossen sind unbegleitete Minderjährige. Im Falle von unbegleiteten Minderjährigen ohne familiäre Anknüpfungspunkte (zu einem anderen Mitgliedstaat) ist gemäss Art. 8 Abs. 4 Dublin-III-VO der Staat zuständig, in welchem der Minderjährige seinen Antrag gestellt hat (vgl. statt vieler Urteile BVGer E-5767/2022 vom 20. Dezember 2022 E. 7.5).</w:t>
      </w:r>
    </w:p>
    <w:p>
      <w:r>
        <w:rPr>
          <w:b/>
        </w:rPr>
        <w:t>E. 3.3</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3.4</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3.5</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4.1</w:t>
      </w:r>
    </w:p>
    <w:p>
      <w:r>
        <w:t>Die Vorinstanz hielt in ihrem Entscheid fest, sie gehe aufgrund der vagen, widersprüchlichen, ausweichenden und unglaubhaften Angaben des Beschwerdeführers sowie dessen äusseren Erscheinungsbildes von dessen Volljährigkeit aus. Diese Vermutung sei durch eine forensische Altersabklärung bestätigt worden. Es spreche nichts gegen eine Überstellung des Beschwerdeführers nach Österreich, auch nicht seine gesundheitlichen Beschwerden ([...]), welche bei Bedarf dort behandelbar wären.</w:t>
      </w:r>
    </w:p>
    <w:p>
      <w:r>
        <w:rPr>
          <w:b/>
        </w:rPr>
        <w:t>E. 4.2</w:t>
      </w:r>
    </w:p>
    <w:p>
      <w:r>
        <w:t>Dem entgegnete der Beschwerdeführer in seiner Rechtsmitteleingabe - neben materiell-rechtlichen und somit vorliegend nicht relevanten Vorbringen -, es sei nicht sicher, ob Österreich ihm Asyl gewähren würde, zumal in den letzten Jahren viele afghanische Asylbewerber durch die österreichischen Behörden abgeschoben worden seien. Aufgrund seiner Minderjährigkeit müssten Massnahmen ergriffen werden, um ihm besonderen Schutz zukommen zu lassen und seine Rechte auf Schutz vor grausamer, unmenschlicher oder erniedrigender Behandlung, auf eine kindergerechte Entwicklung sowie auf Bildung zu wahren.</w:t>
      </w:r>
    </w:p>
    <w:p>
      <w:r>
        <w:rPr>
          <w:b/>
        </w:rPr>
        <w:t>E. 5.1</w:t>
      </w:r>
    </w:p>
    <w:p>
      <w:r>
        <w:t>Der Beschwerdeführer bestreitet nicht, sich vor seiner Einreise in die Schweiz in Österreich aufgehalten und Fingerabdrücke abgegeben zu haben, indes habe er dort nicht um Asyl ersucht. Nachdem die österreichischen Behörden innerhalb der in Art. 25 Abs. 1 Dublin-III-VO festgelegten Frist dem Wiederaufnahmegesuch der Vorinstanz mittels eines Standardschreibens implizit zugestimmt haben, ist die grundsätzliche Zuständigkeit Österreichs gegeben. Das Vorbringen des Beschwerdeführers, er habe in Österreich kein Asylgesuch stellen wollen, vermag daran nichts zu ändern. Die Dublin-III-VO räumt den Schutzsuchenden kein Recht ein, den ihren Antrag prüfenden Staat selber auszuwählen (vgl. BVGE 2010/45 E. 8.3).</w:t>
      </w:r>
    </w:p>
    <w:p>
      <w:r>
        <w:rPr>
          <w:b/>
        </w:rPr>
        <w:t>E. 5.2.1</w:t>
      </w:r>
    </w:p>
    <w:p>
      <w:r>
        <w:t>Soweit der Beschwerdeführer geltend macht, aufgrund seiner Minderjährigkeit sei von der Zuständigkeit der schweizerischen Asylbehörden für sein Asylgesuch auszugehen, ist Folgendes festzustellen:</w:t>
      </w:r>
    </w:p>
    <w:p>
      <w:r>
        <w:rPr>
          <w:b/>
        </w:rPr>
        <w:t>E. 5.2.2</w:t>
      </w:r>
    </w:p>
    <w:p>
      <w:r>
        <w:t>Die Beweislast für die behauptete Minderjährigkeit trägt grundsätzlich die asylsuchende Person (vgl. BVGE 2018 VI/3 E. 3 und E. 4.2.3). Im Rahmen einer Gesamtwürdigung ist eine Abwägung sämtlicher Anhaltspunkte, die für oder gegen die Richtigkeit der betreffenden Altersangaben sprechen, vorzunehmen. Wesentlich sind dabei für echt befundene Identitätspapiere oder eigene Angaben der betroffenen Person (vgl. Urteil des BVGer E-4931/2014 vom 21. Januar 2015 E. 5.1.1, m.H.a. Entscheidungen und Mitteilungen der [vormaligen] Asylrekurskommission [EMARK] 2004 Nr. 30). Das Resultat des Altersgutachtens stellt nur ein Element bei der Beurteilung der Frage der Glaubhaftigkeit einer geltend gemachten Minderjährigkeit dar (vgl. BVGE 2019 I/6 E. 6.1 ff.). Gemäss BVGE 2018 VI/3 sind von den in der Schweiz angewandten Methoden der medizinischen Altersabklärung nur die Schlüsselbein- respektive Skelettaltersanalyse und die zahnärztliche Untersuchung (nicht jedoch die Handknochenaltersanalyse und die ärztliche körperliche Untersuchung) zum Beweis der Minder- beziehungsweise Volljährigkeit einer Person geeignet. Eine medizinische Altersabklärung stellt ein starkes Indiz für die Volljährigkeit dar, falls das Mindestalter bei der Schlüsselbein- respektive Skelettaltersanalyse oder der zahnärztlichen Untersuchung über 18 Jahren liegt und die sich anhand der beiden Analysen ergebenden Altersspannen überlappen (vgl. a.a.O. E. 4.2.1 f.; Urteil des BVGer E-2642/2022 vom 24. Juni 2022 E. 7.2.2).</w:t>
      </w:r>
    </w:p>
    <w:p>
      <w:r>
        <w:rPr>
          <w:b/>
        </w:rPr>
        <w:t>E. 5.2.3</w:t>
      </w:r>
    </w:p>
    <w:p>
      <w:r>
        <w:t>Der Beschwerdeführer reichte keine Identitätspapiere ein. Auf dem Personalienblatt gab er sowohl den (...) als auch den (...) als Geburtsdatum an (vgl. SEM-Akten 1193880-1/2). In der EURODAC-Datenbank wurde ebenfalls der (...) als Geburtsdatum des Beschwerdeführers erfasst (vgl. SEM-Akten 1193880-7/1). Seine Aussagen anlässlich der Erstbefragung zu seinem Alter und familiären Umfeld sind - wie dies die Vorinstanz zu Recht festhält - auffallend vage und ausweichend ausgefallen. Das SEM hält zu Recht fest, dass die Berechnungen des Beschwerdeführers in seiner Stellungnahme vom 8. November 2022 hinsichtlich des Alters nicht überzeugten. Der Beschwerdeführer macht geltend im Alter von (...) Jahren eingeschult worden zu sein. Das Schuljahr beginnt in Afghanistan im März. Das heisst er wäre kurz vor seinem (...) Geburtstag eingeschult worden und im März 2022 - kurz vor seinem (...) Geburtstag - in die (...) Klasse gekommen. Da er dieses Schuljahr begonnen und bis zur 4.5 Monatsprüfung besucht habe, kann es nicht sein, dass er im Alter von (...) Jahren ausgereist ist (vgl. A14 Ziff. 1.06, Stellungnahme vom 8. November 2022 sowie Nichteintretensentscheid des SEM vom 15. Dezember 2022, S. 7 f.). Ausserdem hätten die Ereignisse, die ihn zur Ausreise veranlasst hätten ungefähr drei oder dreieinhalb Monate nach der Machtübernahme durch die Taliban (im August 2021), somit in seinem (...) Schuljahr, begonnen (vgl. A14 Ziff. 7.02). Insgesamt sind diese Angaben nicht geeignet, das Gericht von seiner Minderjährigkeit zu überzeugen beziehungsweise diese glaubhaft zu machen. Die forensische Lebensaltersschätzung des Beschwerdeführers stützt ihr Ergebnis im Gutachten vom 2. November 2022 auf eine körperliche Untersuchung des Beschwerdeführers, die zahnärztliche Altersschätzung, die radiologische Altersschätzung des Handgelenks sowie der Schlüsselbeine. Hierbei ergab die Handknochenanalyse ein Mindestalter von (...) Jahren und die Schlüsselbeinanalyse ein Mindestalter von (...) Jahren; bei der zahnärztlichen Untersuchung wurde zwar kein Mindestalter angegeben, aber ein Durchschnittsalter von circa (...) Jahren festgehalten. Zusammenfassend ergab sich ein durchschnittliches Lebensalter von 18 bis 29 Jahren und ein Mindestalter von (...) Jahren. Die Altersspannen der zahnärztlichen sowie der Schlüsselbeinanalyse überlappen sich. Wie die Vorinstanz zu Recht festhält, setzt sich das Altersgutachten auch mit dem Einfluss der ethnischen Zugehörigkeit auseinander. Praxisgemäss stellen eindeutige Ergebnisse der in der Schweiz angewendeten Methoden zur medizinischen Altersbestimmung ein starkes Indiz für die Volljährigkeit dar (vgl. oben E. 5.3.2; BVGE 2018 VI/3 E. 4.2.2).</w:t>
      </w:r>
    </w:p>
    <w:p>
      <w:r>
        <w:rPr>
          <w:b/>
        </w:rPr>
        <w:t>E. 5.2.4</w:t>
      </w:r>
    </w:p>
    <w:p>
      <w:r>
        <w:t>Nach dem Gesagten lassen weder die in den Akten befindlichen Beweismittel - welche weder übersetzt noch in der Beschwerde erwähnt werden - noch die vagen Aussagen des Beschwerdeführers stichhaltige Rückschlüsse auf sein wahres Alter und insbesondere auf die Frage seiner Minder- oder Volljährigkeit im Zeitpunkt der Einreichung seines Asylgesuchs in der Schweiz zu. Demgegenüber stellt das Altersgutachten vorliegend ein starkes Indiz für seine Volljährigkeit dar.</w:t>
      </w:r>
    </w:p>
    <w:p>
      <w:r>
        <w:rPr>
          <w:b/>
        </w:rPr>
        <w:t>E. 5.2.5</w:t>
      </w:r>
    </w:p>
    <w:p>
      <w:r>
        <w:t>Daher gelangt das Gericht in Übereinstimmung mit der Vorinstanz zum Schluss, dass es dem Beschwerdeführer nicht gelungen ist, die von ihm geltend gemachte Minderjährigkeit zum Zeitpunkt seiner Gesuchseinreichung in der Schweiz glaubhaft zu machen.</w:t>
      </w:r>
    </w:p>
    <w:p>
      <w:r>
        <w:rPr>
          <w:b/>
        </w:rPr>
        <w:t>E. 5.3</w:t>
      </w:r>
    </w:p>
    <w:p>
      <w:r>
        <w:t>Das SEM ist daher zu Recht die österreichischen Behörden um Wiederaufnahme des Beschwerdeführers ersucht.</w:t>
      </w:r>
    </w:p>
    <w:p>
      <w:r>
        <w:rPr>
          <w:b/>
        </w:rPr>
        <w:t>E. 6.1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mit sich bringen würden.</w:t>
      </w:r>
    </w:p>
    <w:p>
      <w:r>
        <w:rPr>
          <w:b/>
        </w:rPr>
        <w:t>E. 6.2</w:t>
      </w:r>
    </w:p>
    <w:p>
      <w:r>
        <w:t>Wie die Vorinstanz zutreffend ausgeführt hat, ist Österreich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Österreich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Gemäss konstanter Praxis des Bundesverwaltungsgerichts im Bereich der Wiederaufnahmeverfahren liegen im heutigen Zeitpunkt keine Gründe für die Annahme vor, das Asylverfahren und die Aufnahmebedingungen für Antragstellende in Österreich wiesen systemische Schwachstellen im Sinne von Art. 3 Abs. 2 Sätze 2 und 3 Dublin-III-VO auf (vgl. statt vieler Urteil des BVGer D-4292/2022 vom 8. Dezember 2022 E. 5.1.2).</w:t>
      </w:r>
    </w:p>
    <w:p>
      <w:r>
        <w:rPr>
          <w:b/>
        </w:rPr>
        <w:t>E. 6.3</w:t>
      </w:r>
    </w:p>
    <w:p>
      <w:r>
        <w:t>Unter diesen Umständen ist die Anwendung von Art. 3 Abs. 2 Dublin-III-VO nicht gerechtfertigt.</w:t>
      </w:r>
    </w:p>
    <w:p>
      <w:r>
        <w:rPr>
          <w:b/>
        </w:rPr>
        <w:t>E. 7.1</w:t>
      </w:r>
    </w:p>
    <w:p>
      <w:r>
        <w:t>Die Vermutung, dass Österreich als Mitglied des Gemeinsamen Europäischen Asylsystems und Vertragsstaat der vorstehend erwähnten völkerrechtlichen Abkommen die Menschenrechte beachtet, kann im Einzelfall widerlegt werden. Die antragstellende Person hat dazu jedoch konkret darzulegen beziehungsweise mindestens glaubhaft zu machen, dass eine aktuelle und ernsthafte Gefahr einer Verletzung einer direkt anwendbaren Norm des Völkerrechts droht (vgl. BVGE 2010/45 E. 7.4 f.). In diesem Zusammenhang ist zu prüfen, ob allenfalls das Selbsteintrittsrecht nach Art. 17 Abs. 1 erster Satz Dublin-III-VO (Art. 29a Abs. 3 AsylV 1) auszuüben ist.</w:t>
      </w:r>
    </w:p>
    <w:p>
      <w:r>
        <w:rPr>
          <w:b/>
        </w:rPr>
        <w:t>E. 7.2</w:t>
      </w:r>
    </w:p>
    <w:p>
      <w:r>
        <w:t>Der Beschwerdeführer hat kein konkretes und ernsthaftes Risiko dargetan, wonach, die österreichischen Behörden sich weigern würden, ihn aufzunehmen und seinen Antrag auf internationalen Schutz unter Einhaltung der Regeln der erwähnten Richtlinien zu prüfen. Auch den Akten sind keine Gründe für die Annahme zu entnehmen, dass seine Überstellung nach Österreich zu einer Kettenabschiebung führen würde, beziehungsweise die österreichischen Behörden in seinem Fall den Grundsatz des Non-Refoulement missachten und ihn zur Ausreise in ein Land zwingen würden, in dem sein Leib, sein Leben oder seine Freiheit aus einem Grund nach Art. 3 Abs. 1 AsylG gefährdet ist oder in dem er Gefahr laufen würde, zur Ausreise in ein solches Land gezwungen zu werden. Die pauschalen Behauptungen des Beschwerdeführers, die österreichischen Behörden würden zahlreiche afghanische Staatsangehörige nach Afghanistan abschieben, vermögen das Gericht nicht vom Gegenteil zu überzeugen. Die der Rechtsmitteleingabe kommentarlos beigelegten fremdsprachigen Unterlagen ohne Übersetzung vermögen an dieser Einschätzung nichts zu ändern, zumal sich diese offensichtlich nicht auf die Asylpraxis Österreichs konzentrieren.</w:t>
      </w:r>
    </w:p>
    <w:p>
      <w:r>
        <w:rPr>
          <w:b/>
        </w:rPr>
        <w:t>E. 7.3</w:t>
      </w:r>
    </w:p>
    <w:p>
      <w:r>
        <w:t>Der Beschwerdeführer hat auch keine konkreten Hinweise für die Annahme dargetan, Österreich würde ihm dauerhaft die ihm gemäss Aufnahmerichtlinie zustehenden minimalen Lebensbedingungen vorenthalten. Bei einer allfälligen vorübergehenden Einschränkung könnte er sich im Übrigen allenfalls mit Hilfe der vor Ort tätigen karitativen Organisationen an die dafür zuständigen Behörden wenden und die ihm zustehenden Aufnahmebedingungen auf dem Rechtsweg einfordern (vgl. Art. 26 der Aufnahmerichtlinie). Es sind keine konkreten Anhaltspunkte dafür ersichtlich, der Beschwerdeführer geriete im Falle einer Überstellung wegen der dortigen Aufenthaltsbedingungen in eine existenzielle Notlage.</w:t>
      </w:r>
    </w:p>
    <w:p>
      <w:r>
        <w:rPr>
          <w:b/>
        </w:rPr>
        <w:t>E. 7.4</w:t>
      </w:r>
    </w:p>
    <w:p>
      <w:r>
        <w:t>Auch hinsichtlich der vom Beschwerdeführer im vorinstanzlichen Verfahren erwähnten medizinischen Probleme liegen keine Hinweise vor, wonach Österreich ihm eine adäquate medizinische Behandlung verweigern würde, sollte er eine solche benötigen. Da er auf Beschwerdeebene keine gesundheitlichen Beschwerden mehr geltend macht, erübrigen sich weitere Ausführungen dazu.</w:t>
      </w:r>
    </w:p>
    <w:p>
      <w:r>
        <w:rPr>
          <w:b/>
        </w:rPr>
        <w:t>E. 7.5</w:t>
      </w:r>
    </w:p>
    <w:p>
      <w:r>
        <w:t>Nach dem Ausgeführten besteht kein Grund für eine Anwendung der Ermessensklauseln von Art. 17 Dublin-III-VO (Art. 29a Abs. 3 AsylV 1). Somit bleibt Österreich der für die Behandlung des Asylgesuchs des Beschwerdeführers zuständige Mitgliedstaat gemäss Dublin-III-VO.</w:t>
      </w:r>
    </w:p>
    <w:p>
      <w:r>
        <w:rPr>
          <w:b/>
        </w:rPr>
        <w:t>E. 7.6</w:t>
      </w:r>
    </w:p>
    <w:p>
      <w:r>
        <w:t>Die Vorinstanz ist demnach zu Recht gestützt auf Art. 31a Abs. 1 Bst. b AsylG auf das Asylgesuch des Beschwerdeführers nicht eingetreten und hat seine Wegweisung nach Österreich angeordnet.</w:t>
      </w:r>
    </w:p>
    <w:p>
      <w:r>
        <w:rPr>
          <w:b/>
        </w:rPr>
        <w:t>E. 8</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9</w:t>
      </w:r>
    </w:p>
    <w:p>
      <w:r>
        <w:t>Nach dem Gesagten ist die Beschwerde abzuweisen und die Verfügung des SEM zu bestätigen.</w:t>
      </w:r>
    </w:p>
    <w:p>
      <w:r>
        <w:rPr>
          <w:b/>
        </w:rPr>
        <w:t>E. 10</w:t>
      </w:r>
    </w:p>
    <w:p>
      <w:r>
        <w:t>Mit dem vorliegenden Urteil ist das Beschwerdeverfahren abgeschlossen, weshalb der Antrag auf Erteilung der aufschiebenden Wirkung sowie das Gesuch um Verzicht auf die Erhebung eines Kostenvorschusses gegenstandslos geworden sind. Der am 23. Dezember 2022 angeordnete Vollzugsstopp fällt dahin.</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Rechtspflege sowie rechtlichen Verbeiständung sind unbesehen der finanziellen Verhältnisse des Beschwerdeführers abzuweisen, da die Beschwerde gemäss den vorstehenden Erwägungen als aussichtslos zu bezeichnen ist und es daher an einer gesetzlichen Grundlage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