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E-5932/2017 vom 22. November 2017</w:t>
      </w:r>
    </w:p>
    <w:p>
      <w:r>
        <w:t>Bundesverwaltungsgericht, 2017-11-22, DE</w:t>
      </w:r>
    </w:p>
    <w:p>
      <w:r>
        <w:rPr>
          <w:b/>
        </w:rPr>
        <w:t xml:space="preserve">Quelle: </w:t>
      </w:r>
      <w:r>
        <w:t>https://mcp.opencaselaw.ch/entscheid/bvger_E-5932_2017</w:t>
      </w:r>
    </w:p>
    <w:p>
      <w:r>
        <w:t>FR: TAF E-5932/2017 du 22 novembre 2017</w:t>
      </w:r>
    </w:p>
    <w:p>
      <w:r>
        <w:t>IT: TAF E-5932/2017 del 22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AsylG;Art. 48 Abs. 1 sowie Art. 52 Abs. 1 VwVG). Auf die Beschwerde ist mit Ausnahme der nachfolgenden Ausführungen einzutreten. Der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befand die Vorinstanz die Vorbringen des Beschwerdeführers als den Anforderungen an die Glaubhaftigkeit im Sinne von Art. 7 AsylG nicht genügend. Seine Aussagen seien wenig substantiiert, pauschal, teilweise widersprüchlich und würden einen persönlichen Bezug vermissen lassen. So habe er während der BzP zu Protokoll gegeben, zusammen mit seinem Bruder freigelassen worden zu sein. Anlässlich der Anhörung habe er jedoch ausgeführt, er wisse nicht, wann seine beiden Brüder entlassen worden seien. Weder seine Erklärung, er habe schon immer gesagt, mit ihnen inhaftiert worden zu sein, noch, dass er nicht nach der Entlassung seiner Brüder gefragt worden sei, überzeuge. Er sei während der BzP explizit nach dem Zeitpunkt der Entlassung seines Bruders gefragt worden. Während der Anhörung habe er spontan zu Protokoll gegeben, seine Brüder bei der Entlassung nicht gesehen zu haben und dass er annehme, dass sie vor ihm entlassen worden seien. Zudem widerspreche es der allgemeinen Logik, dass er nach seiner Entlassung nicht mit seinen Brüdern über den Gefängnisaufenthalt gesprochen habe. Es seien auch keine Anhaltspunkte erkennbar, wonach er nach seiner Entlassung unmittelbar gefährdet gewesen wäre. Er habe während mehr als drei Monaten die Schule besuchen können, ohne dass sich etwas Erwähnenswertes ereignet habe. Dies stelle das Verfolgungsinteresse seitens der äthiopischen Behörden in Frage. In Bezug auf seine Furcht erneut inhaftiert zu werden, weil er zwei Polizisten vor seiner offenen Haustüre gesehen habe, bestünden keine hinreichenden Anhaltspunkte für eine Bedrohung. Es liege kein konkreter Anlass zur Annahme vor, dass er mit beachtlicher Wahrscheinlichkeit und in absehbarer Zeit ernsthaften Nachteilen im Sinne von Art. 3 AsylG ausgesetzt wäre. Den Vollzug der Wegweisung erachtete die Vorinstanz als völkerrechtlich zulässig sowie technisch möglich und praktisch durchführbar. In Äthiopien herrsche weder Bürgerkrieg noch eine Situation allgemeiner Gewalt. Es sei davon auszugehen, dass der Beschwerdeführer in seinem Heimatstaat über ein tragfähiges Beziehungsnetz verfüge. Seine beiden Brüder würden in D._______ leben und arbeiten, ein Onkel lebe in Kanada. Es bestünden keine Anzeichen dafür, dass er nicht auf die Unterstützung seiner Geschwister und seines Onkels zählen könnte, sollte dies nötig sein. Zudem habe er eine Ausbildung zum (...) absolviert und bereits praktische Berufserfahrung gesammelt. Eine Rückkehr nach Äthiopien sei daher auch zumutbar.</w:t>
      </w:r>
    </w:p>
    <w:p>
      <w:r>
        <w:rPr>
          <w:b/>
        </w:rPr>
        <w:t>E. 5.2</w:t>
      </w:r>
    </w:p>
    <w:p>
      <w:r>
        <w:t>Auf Beschwerdeebene wiederholt der Beschwerdeführer, dass er aus politischen Gründen inhaftiert und in Haft gefoltert worden sei. Er befürchte, dass sich dies wiederholen könne und sei sich sicher, dass die Polizei vor seiner Ausreise nach ihm gesucht habe. Er habe alleine gewohnt in dem Haus, in welchem die Polizei die Türe eingetreten habe. Er habe Angst zurückzukehren. In Bezug auf den Wegweisungsvollzug führt er aus, im somalischen Teil Äthiopiens sei die Lage sehr gefährlich, weshalb der Vollzug der Wegweisung für ihn unzumutbar sei.</w:t>
      </w:r>
    </w:p>
    <w:p>
      <w:r>
        <w:rPr>
          <w:b/>
        </w:rPr>
        <w:t>E. 6</w:t>
      </w:r>
    </w:p>
    <w:p>
      <w:r>
        <w:t>Die Vorinstanz ist in ihren Erwägungen zur zutreffenden Erkenntnis gelangt, die Vorbringen des Beschwerdeführers würden den Anforderungen an die Glaubhaftigkeit im Sinne von Art. 7 AsylG nicht genügen. Auf die betreffenden Erwägungen der Vorinstanz gemäss angefochtener Verfügung und Zusammenfassung in E. 5.1. kann mit den nachfolgenden Ergänzungen verwiesen werden. Der Inhalt der Beschwerde führt zu keiner anderen Betrachtungsweise. Der Beschwerdeführer konnte die von der Vorinstanz aufgeworfenen Widersprüche, insbesondere in Bezug auf die Frage, ob er mit beiden oder nur einem Bruder verhaftet und ob er alleine oder gemeinsam mit seinen Brüdern aus der Haft entlassen worden sei, nicht auflösen. Es mutet zudem erstaunlich an, dass er bis zum heutigen Zeitpunkt nicht weiss, wann seine Brüder aus der Haft entlassen worden seien (vgl. vorinstanzliche Akten A20 F126 und F136 ff.). Seine Erklärung, er habe keine Gelegenheit gehabt, sie zu fragen, überzeugt nicht (vgl. A20 F138). Schliesslich erscheint sein Vorbringen, die Polizisten hätten seine Türe eingetreten, zweifelhaft, gab er doch zu Protokoll, die Polizisten nur von weitem gesehen zu haben (vgl. A20 F146). Unabhängig von der Frage der Glaubhaftigkeit der Vorbringen des Beschwerdeführers, lässt sich aus seinen Ausführungen keine asylrelevante Gefährdung ableiten. Nach seiner Haftentlassung ist er während über drei Monaten mit keinen Repressalien seitens der äthiopischen Behörden konfrontiert gewesen (vgl. A20 F128, F134 f. und F142). Es ist ihm ohne weiteres möglich gewesen, seine Ausbildung zum (...) abzuschliessen. Allein aus dem Umstand, dass sich Polizisten vor seinem Haus aufgehalten haben, kann nicht auf eine Gefährdung im Sinne von Art. 3 AsylG geschlossen werden, zumal die Gründe und Motive für deren Anwesenheit nicht bekannt sind. Zudem leben die beiden Brüder des Beschwerdeführers - welche gemäss seinen Ausführungen anlässlich der Anhörung ebenfalls inhaftiert worden sind - nach wie vor in Äthiopien. Den Akten sind keine Hinweise zu entnehmen, wonach sie irgendwelchen Nachteilen seitens der Behörden ausgesetzt wären. Weshalb nur der Beschwerdeführer Repressalien in seiner Heimat zu gewärtigen hätte, nicht jedoch seine Brüder, ist nicht ersichtlich. Alleine der Umstand, dass er häufig Zeit mit seinem Onkel verbracht hat, vermag diesen Unterschied nicht zu erklären, zumal dieser regelmässiger Besucher auch seiner Brüder gewesen sei (vgl. A20 F38 und F100). Zusammengefasst hat der Beschwerdeführer nichts vorgebracht, was geeignet wäre, eine asylrelevante Verfolgung im Sinne von Art. 3 AsylG nachzuweisen oder zumindest glaubhaft zu machen.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Somit erweist sich der Vollzug der Wegweisung als zulässig.</w:t>
      </w:r>
    </w:p>
    <w:p>
      <w:r>
        <w:rPr>
          <w:b/>
        </w:rPr>
        <w:t>E. 8.1.2</w:t>
      </w:r>
    </w:p>
    <w:p>
      <w:r>
        <w:t>Der Wegweisungsvollzug ist in alle Regionen Äthiopiens nach konstanter Praxis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30.03.2017&lt; http://www.fanabc.com/english/index.php/news/item/8527-ethiopia-extends-state-ofemergency-for-additional-four-months &gt;, abgerufen am 14.11.2017). Die Lage zeigt sich zudem auch in gewissen Grenzregionen angespannt. Trotz des Waffenstillstandsabkommens mit Eritrea aus dem Jahr 2000 kommt es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14.11.2017).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 Weder die aktuelle, allgemeine Lage im Herkunftsstaat des Beschwerdeführers noch individuelle Gründe lassen auf eine konkrete Gefährdung im Falle einer Rückkehr schliessen. Der Beschwerdeführer hat während zehn Jahren die Schule besucht, eine Ausbildung zum (...) absolviert und bereits praktische Arbeitserfahrung gesammelt. Weiter verfügt er in seinem Heimatstaat über ein intaktes soziales Beziehungsnetz, da seine Familie (Eltern und zwei Brüder) nach wie vor in Äthiopien leben. In seiner Beschwerde macht er sodann keine aktuellen gesundheitlichen Probleme geltend, welche der Zumutbarkeit des Wegweisungsvollzugs entgegenstehen würden; solche sind auch den Akten nicht zu entnehmen. Der Vollzug der Wegweisung erweist sich somit als zumutbar.</w:t>
      </w:r>
    </w:p>
    <w:p>
      <w:r>
        <w:rPr>
          <w:b/>
        </w:rPr>
        <w:t>E. 8.1.3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8.2</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Die Gesuche um Gewährung der unentgeltlichen Rechtspflege und Beiordnung einer amtlichen Rechtsverbeiständung (vgl. Art. 65 Abs. 1 VwVG und Art. 110a Abs. 1 AsylG) sind unbesehen der geltend gemachten Mittellosigkeit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