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E-5931/2010 vom 20. September 2010</w:t>
      </w:r>
    </w:p>
    <w:p>
      <w:r>
        <w:t>Bundesverwaltungsgericht, 2010-09-20, FR</w:t>
      </w:r>
    </w:p>
    <w:p>
      <w:r>
        <w:rPr>
          <w:b/>
        </w:rPr>
        <w:t xml:space="preserve">Quelle: </w:t>
      </w:r>
      <w:r>
        <w:t>https://mcp.opencaselaw.ch/entscheid/bvger_E-5931_2010</w:t>
      </w:r>
    </w:p>
    <w:p>
      <w:r>
        <w:t>FR: TAF E-5931/2010 du 20 septembre 2010</w:t>
      </w:r>
    </w:p>
    <w:p>
      <w:r>
        <w:t>IT: TAF E-5931/2010 del 20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L'intéressée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3.2</w:t>
      </w:r>
    </w:p>
    <w:p>
      <w:r>
        <w:t>La recourante a déclaré avoir quitté le Libéria, en 2006, en raison des menaces qu'elle aurait reçues du fait que son père aurait été (...) de Charles Taylor. Elle aurait ensuite quitté le Ghana où elle s'était réfugiée au motif qu'elle aurait été violée et brûlée par l'ami de son père chez qui elle habitait.</w:t>
      </w:r>
    </w:p>
    <w:p>
      <w:r>
        <w:rPr>
          <w:b/>
        </w:rPr>
        <w:t>E. 3.3</w:t>
      </w:r>
    </w:p>
    <w:p>
      <w:r>
        <w:t>S'agissant de la raison principale qui a déterminé la recourante à venir en Suisse, à savoir le viol et les blessures dont elle aurait été victime au Ghana, le Tribunal constate que ce motif n'est pas pertinent en matière d'asile (cf. art. 3 LAsi). En effet, les craintes que l'intéressée fait valoir ne sont pas en relation avec son pays d'origine, le Libéria, mais avec un pays tiers, le Ghana. Au demeurant, le Tribunal relève au passage que les allégations de la recourante à ce sujet ne sont que de simples affirmations qu'aucun moyen de preuve ne vient corroborer.</w:t>
      </w:r>
    </w:p>
    <w:p>
      <w:r>
        <w:rPr>
          <w:b/>
        </w:rPr>
        <w:t>E. 3.4</w:t>
      </w:r>
    </w:p>
    <w:p>
      <w:r>
        <w:t>Concernant les menaces qu'elle aurait reçues au Libéria, force est de constater que la recourante n'a pas non plus établi la crédibilité de ses motifs. En effet, là encore, les craintes alléguées ne constituent que de simples affirmations de sa part et ne reposent sur aucun fondement concret et sérieux et ne sont étayées par un quelconque commencement de preuve. De plus, le récit est stéréotypé, imprécis et manque considérablement de substance de sorte qu'il ne satisfait pas aux conditions de vraisemblance de l'art. 7 LAsi. Ainsi, les déclarations concernant les menaces reçues au Libéria sont vagues et dépourvues des détails significatifs d'une expérience vécue. A titre d'exemple, lors de la première audition, l'intéressée a indiqué qu'elle ne se souvenait pas spécifiquement de la date à laquelle elle avait été menacée mais que cela s'était produit plusieurs fois en 2005 et en 2006 (cf. p-v d'audition du 7 juillet 2010, p. 5), alors que durant la deuxième audition, elle a déclaré qu'elle et sa grand-mère avaient été menacées à deux reprises en 2005 (cf. p-v d'audition du 21 juillet 2010, p. 2). Elle est également restée très floue quant aux personnes qui auraient proféré ces menaces se contentant d'indiquer qu'il s'agissait de gens à qui son père avait fait des choses durant la guerre (cf. p-v d'audition du 7 juillet 2010, p. 5). Ces imprécisions laissent à penser que la recourante n'a pas vécu les événements tels qu'invoqués à l'appui de sa demande. Cela dit, il convient également de souligner que l'intéressée n'a aucunement établi que son père aurait effectivement été (...) de Charles Taylor. Au demeurant, elle n'a pas non plus démontré que les personnes ou les membres des familles qui auraient été partisans de Charles Taylor seraient actuellement menacés au Libéria, comme elle le soutient. A ce sujet, le Tribunal relève d'ailleurs qu'en 2003, après le départ en exil de l'ex-président Charles Taylor, un accord global de paix a été signé, le 18 août 2003, entre le gouvernement libérien et les deux factions rebelles, les Libériens unis pour la réconciliation et la démocratie (LURD) et le Mouvement pour la démocratie au Libéria (MODEL). Un gouvernement de transition a alors vu le jour. Il réunissait les trois factions armées, à savoir le LURD, le MODEL et les partisans de Charles Taylor, à parts égales, les dix-huit partis politiques du pays, ainsi que la société civile. Par ailleurs, en novembre 2004, les chefs des trois factions du LURD, du MODEL et des partisans de Charles Taylor ont signé un accord visant à dissoudre les branches militaires de leurs mouvements et à éradiquer la violence (cf. arrêt du Tribunal administratif fédéral E-5347/2006 du 22 août 2007). A cela s'ajoute que les déclarations de la recourante tendent également à contredire qu'elle serait en danger au Libéria, en raison du fait que son père aurait servi sous les ordres de Charles Taylor, étant donné qu'elle a elle-même indiqué qu'en 2005, des gens avaient essayé à deux reprises de brûler sa maison mais qu'ils n'y étaient pas parvenus à cause de l'armée qui était intervenue (cf. p-v d'audition du 21 juillet 2010, p. 5). Enfin, la description du voyage de l'intéressée relève elle aussi du stéréotype, celle-ci étant au surplus incapable de fournir des indications sur les documents qui lui auraient permis de passer les frontières mais qu'elle n'aurait jamais eus entre les mains ni sur la compagnie aérienne avec laquelle elle aurait voyagé. Il n'est pas non plus convaincant qu'elle ne sache pas qui a financé son voyage. En outre, l'hypothèse qu'elle a émise selon laquelle ce serait le prêtre chez qui elle se serait réfugiée qui aurait organisé et financé ce voyage est purement gratuite et nullement étayée. Dans ces conditions, de sérieux doutes se font jour quant aux réelles circonstances du départ de l'intéressée du continent africain. Pour le surplus, renvoi est fait aux considérants pertinents de la décision de l'autorité inférieure.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Dans le cas d'espèce,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la recourante n'a pas été en mesure de démontrer qu'il existait pour elle un risque concret et sérieux d'être victime de traitements de cette nature.</w:t>
      </w:r>
    </w:p>
    <w:p>
      <w:r>
        <w:rPr>
          <w:b/>
        </w:rPr>
        <w:t>E. 6.6</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Bien que le Libéria présente un taux de criminalité élevé et soit occasionnellement la scène de violences, la situation sécuritaire, il est vrai fragile, reste cependant stable depuis plusieurs années. Le pays ne connaît en particulier pas une situation de guerre, de guerre civile ou de violence généralisée sur tout son territoire, notamment à B._______, qui permettrait d'emblée - et indépendamment des circonstances du cas d'espèce - de présumer, à propos de tous ses ressortissants,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il faut relever que celle-ci est jeune, au bénéfice d'une formation scolaire et d'une expérience professionnelle et n'a pas allégué de problème de santé particulier. De plus, au vu de l'invraisemblance de son récit, sa condition de femme seule n'est pas établie. Tous ces facteurs devraient lui permettre de se réinstaller au Libéria sans y affronter d'excessives difficultés.</w:t>
      </w:r>
    </w:p>
    <w:p>
      <w:r>
        <w:rPr>
          <w:b/>
        </w:rPr>
        <w:t>E. 7.4</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demande d'assistance judiciaire partielle doit être rejetée (art. 65 al. 1 PA).</w:t>
      </w:r>
    </w:p>
    <w:p>
      <w:r>
        <w:rPr>
          <w:b/>
        </w:rPr>
        <w:t>E. 12</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