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E-5930/2010 vom 18. Januar 2013</w:t>
      </w:r>
    </w:p>
    <w:p>
      <w:r>
        <w:t>Bundesverwaltungsgericht, 2013-01-18, FR</w:t>
      </w:r>
    </w:p>
    <w:p>
      <w:r>
        <w:rPr>
          <w:b/>
        </w:rPr>
        <w:t xml:space="preserve">Quelle: </w:t>
      </w:r>
      <w:r>
        <w:t>https://mcp.opencaselaw.ch/entscheid/bvger_E-5930_2010</w:t>
      </w:r>
    </w:p>
    <w:p>
      <w:r>
        <w:t>FR: TAF E-5930/2010 du 18 janvier 2013</w:t>
      </w:r>
    </w:p>
    <w:p>
      <w:r>
        <w:t>IT: TAF E-5930/2010 del 18 gennaio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époux ont qualité pour recourir pour eux-mêmes et au nom de leurs enfants. Présenté dans la forme et dans les délais prescrits par la loi, le recours est recevable (art. 48 et 52 PA et 108 al. 1 LAsi).</w:t>
      </w:r>
    </w:p>
    <w:p>
      <w:r>
        <w:rPr>
          <w:b/>
        </w:rPr>
        <w:t>E. 2</w:t>
      </w:r>
    </w:p>
    <w:p>
      <w:r>
        <w:t>Ainsi qu'il a été relevé dans la décision incidente du 26 août 2010, les époux et leurs enfants n'ont pas contesté la décision de l'ODM du 16 juillet 2010 en tant qu'elle refusait de leur reconnaître la qualité de réfugié et de leur octroyer l'asile. Aussi, sur ces deux points, ladite décision de l'ODM a acquis force de chose décidée.</w:t>
      </w:r>
    </w:p>
    <w:p>
      <w:r>
        <w:rPr>
          <w:b/>
        </w:rPr>
        <w:t>E. 3.1</w:t>
      </w:r>
    </w:p>
    <w:p>
      <w:r>
        <w:t>Les recourants ont fait grief à l'ODM d'une violation de la maxime inquisitoire pour avoir statué sur leur demande sans attendre les résultats définitifs des examens nécessaires à la détermination des affections de leur enfant. Dans une lettre du 10 juin 2010 à l'ODM, après énumération des affections envisagées chez l'enfant des recourants, les docteurs J._______ et K._______, de H._______ à I._______, ont effectivement fait remarquer à cette autorité que ces affections méritaient des investigations complémentaires et, pour certaines, une prise en charge particulière (cf. Faits let. A.b) Dans un certificat médical du 9 août suivant, les médecins notaient aussi qu'un diagnostic de précision ne pouvait être posé à ce stade, l'enfant n'ayant toujours pas bénéficié d'investigations complémentaires(cf. Faits let. C).</w:t>
      </w:r>
    </w:p>
    <w:p>
      <w:r>
        <w:rPr>
          <w:b/>
        </w:rPr>
        <w:t>E. 3.2</w:t>
      </w:r>
    </w:p>
    <w:p>
      <w:r>
        <w:t>De fait, la question de savoir si, en l'absence d'un diagnostic définitif, l'ODM, pouvait d'emblée exclure que l'état de l'enfant constituait un obstacle à l'exécution du renvoi, et si cet office n'aurait pas dû, compte tenu des circonstances particulières de l'espèce, attendre le résultat de ces investigations avant de statuer, peut demeurer indécise. En effet l'ODM s'est entre-temps prononcé, dans sa réponse au recours, en tenant compte des rapports médicaux qui ont suivi et les recourants ont eu la possibilité de déposer une duplique, de sorte qu'en tout état de cause le vice allégué a été réparé en procédure de recours.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l'ODM prononce l'admission provisoire de l'étranger concerné. Celle-ci est réglée par l'art. 83 de la loi fédérale sur les étrangers du 16 décembre 2005 (LEtr, RS 142.20), entrée en vigueur le 1er janvier 2008.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6.1</w:t>
      </w:r>
    </w:p>
    <w:p>
      <w:r>
        <w:t>Les recourants s'opposent à l'exécution de leur renvoi qu'ils n'estiment pas raisonnablement exigible à cause de la spécificité des soins que requiert leur aîné, soins dont il n'est pas certain qu'ils soient disponibles dans leur pays et qu'ils ne pourraient, de toute façon, que difficilement obtenir vu qu'ils sont issus d'une minorité ethnique; selon eux, en effet, en Macédoine, les individus d'extraction minoritaires sont souvent discriminés dans l'accès aux soins.</w:t>
      </w:r>
    </w:p>
    <w:p>
      <w:r>
        <w:rPr>
          <w:b/>
        </w:rPr>
        <w:t>E. 6.2</w:t>
      </w:r>
    </w:p>
    <w:p>
      <w:r>
        <w:t>En vertu de l'art. 83 al. 4 LEtr, l'exécution du renvoi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Arrêts du Tribunal administratif suisse [ATAF] 2009/52 consid. 10.1 p. 756s. ; ATAF 2008/34 consid. 11.1 ; ATAF 2007/10 consid. 5 ; Jurisprudence et informations [JICRA] de l'ancienne Commission suisse de recours en matière d'asile [JICRA] 2005 n° 24 p. 215 consid. 10.1 ; JICRA 2003 n° 24 p. 157 consid. 5a ; JICRA 2002 n° 11 p. 99 ss consid. 8 ; JICRA 1999 n° 28 p. 170 consid. 5b ; JICRA 1998 n° 22 p. 191 consid. 7a et jurisp. citée ; Peter Bolzli, in : Marc Spescha/Hanspeter Thür/Andreas Zünd/Peter Bolzli, Kommentar Migrationsrecht, Zurich 2008, n. 14 ss ad art. 83 ; Walter Stöckli, Asyl, in : Peter Uebersax/Beat Rudin/Thomas Hugi Yar/Thomas Geiser [éd.], Ausländerrecht, Handbücher für die Anwaltspraxis, vol. VIII, 2ème éd., Bâle 2009, n° 11.68 s.).</w:t>
      </w:r>
    </w:p>
    <w:p>
      <w:r>
        <w:rPr>
          <w:b/>
        </w:rPr>
        <w:t>E. 6.3</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(voir ATAF 2009/2 consid. 9.3.2; JICRA 2003 n° 24 consid. 5b p. 157 s. et doctrine citée). En définitive,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Dès lors,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not. JICRA 2003 n° 24 précitée).</w:t>
      </w:r>
    </w:p>
    <w:p>
      <w:r>
        <w:rPr>
          <w:b/>
        </w:rPr>
        <w:t>E. 6.4.1</w:t>
      </w:r>
    </w:p>
    <w:p>
      <w:r>
        <w:t>En avril 2012, l'aîné des enfants a subi plusieurs interventions chirurgicales qui ont entraîné, selon l'ultime rapport médical versé au dossier (cf. Faits, let. J), une amélioration de son "status", aussi bien orthopédique que neuro-urologique. Actuellement, il présente encore les séquelles d'un myéloméningocèle ainsi qu'une hydrocéphalie drainée. Paraplégique, il pâtit aussi de déformations orthopédiques. Cela étant, depuis qu'il a été pris en charge, à l'automne 2010, il a pu acquérir un positionnement assis adéquat et une mobilité en fauteuil roulant qu'il propulse lui-même. Sa paraplégie flasque et ses conséquences orthopédiques nécessitent toutefois une séance hebdomadaire de physiothérapie et une autre d'ergothérapie faute de quoi une accentuation des rétractions avec perte de fonction supplémentaire et apparition de douleurs musculo-squelettiques est à craindre. Le traitement des équins a entraîné le port d'orthèses correctives. Enfin, l'enfant qui vit avec un seul rein, post-opératoire, pâtit aussi d'une vessie neurologique traitée par antibioprophylaxie et cathétérismes intermittents au travers de l'urétérostomie. Des certificats produits en cours de procédure, il appert que la mère de l'enfant a été formée à l'usage des cathéters à demeure avec ballonnet. Elle est donc en mesure d'effectuer elle-même les sondages dont son enfant a besoin. Outre le traitement médicamenteux et les soins précités, les médecins de l'enfant recommandent des contrôles médicaux pluridisciplinaires bisannuels intégrant des suivis neuro-urologique et neuro orthopédique et un suivi de réhabilitation, ceci dans le but de prévenir, à court terme, une dégradation de la fonction rénale avec absence d'autonomie motrice, ultérieurement une péjoration de la fonction du rein restant avec développement d'une insuffisance rénale chronique.</w:t>
      </w:r>
    </w:p>
    <w:p>
      <w:r>
        <w:rPr>
          <w:b/>
        </w:rPr>
        <w:t>E. 6.4.2</w:t>
      </w:r>
    </w:p>
    <w:p>
      <w:r>
        <w:t>Le Tribunal fédéral (TF) a déjà eu l'occasion de le dire dès 2001, une assistance médicale minimum existe en Macédoine et le renvoi de Suisse de ressortissants de ce pays ne saurait être prohibé du seul fait qu'un suivi médical est mieux assuré en Suisse qu'en Macédoine (cf. arrêt 2A.732/2005 du 16 décembre 2005 et les réf. cit.). Récemment, l'Organisation suisse d'aide aux réfugiés (OSAR) s'est aussi livrée à un examen des possibilités de soins offertes dans ce pays à un jeune homme de 22 ans, handicapé depuis sa naissance, ne pouvant se déplacer qu'en fauteuil roulant et ayant régulièrement besoin de soins médicaux, notamment urologiques, pour le traitement de complications liées à un spina bifida (cf. Organisation suisse d'Aide aux Réfugiés (OSAR) "Macédoine : soins médicaux et assurance-maladie pour handicapés physiques", Renseignement de l'analyse-pays de l'OSAR, Adrian Schuster, Berne août 2012, p. 1). Il ressort de son compte-rendu du 23 août 2012 que, d'après l'Organisation Mondiale de la Santé (OMS), la Macédoine compte environ 26 médecins pour 10'000 habitants, un chiffre inférieur à la moyenne de l'Union européenne (33 médecins pour 10'000 habitants). D'après la société macédonienne d'urologie, il y a en Macédoine 65 urologues, ce qui correspond à environ un urologue pour 30'000 habitants, ainsi que 15 services d'urologie dans différents hôpitaux. Le remplacement d'un cathéter suprapubien y est une intervention de routine, effectuée dans les hôpitaux d'Etat comme dans les hôpitaux privés. Pour le cathétérisme suprapubien de brève durée on utilise des cathéters à usage unique en PVC, pour le cathétérisme suprapubien prolongé, comme vraisemblablement dans le cas de l'enfant des recourants, des cathéters à demeure avec ballonnet. Les coûts du traitement pendant le cathétérisme suprapubien, y compris les coûts du cathéter et de son remplacement, sont pris en charge par la caisse-maladie. Seule une quote-part d'environ 10 % est à la charge du patient dans les hôpitaux d'Etat. Les coûts du remplacement du cathéter dans une clinique privée s'élèvent à env. 15 euros (cf. OSAR, op. cit., p. 14s et réf. cit.). La physiothérapie par des professionnels qualifiés est une mesure de réadaptation possible en Macédoine. L'assurance-maladie prend en charge les frais de mesures spécialisées de réadaptation médicale après une hospitalisation. Entre autres établissements, l'hôpital d'Etat de Veles, à 80km de F._______ offre une prise en charge physiothérapeutique aux paraplégiques. Ces services de physiothérapie sont remboursés par la caisse-maladie et sont donc gratuits pour les patients (cf. OSAR, op. cit., p. 15 et réf. cit.).</w:t>
      </w:r>
    </w:p>
    <w:p>
      <w:r>
        <w:rPr>
          <w:b/>
        </w:rPr>
        <w:t>E. 6.4.3</w:t>
      </w:r>
    </w:p>
    <w:p>
      <w:r>
        <w:t>Depuis une modification de la loi sur l'assurance-maladie, en 2011, les personnes ayant un revenu annuel de moins de 132'000 MKD (dinar macédonien, env. 2165 euros), sont assurées sans même devoir établir un éventuel statut de chômeur (les chômeurs ayant un revenu annuel plus élevé et n'ayant pas d'autre assurance-maladie doivent payer une cotisation échelonnée en fonction de leur revenu à la caisse-maladie nationale). Les personnes qui n'ont pas résidé en Macédoine durant une longue période peuvent s'inscrire au fonds d'assurance-maladie à leur retour et sont couvertes dès le jour-même, selon les renseignements fournis par le fonds (cf. OSAR, op. cit., p. 5 et réf. cit.).</w:t>
      </w:r>
    </w:p>
    <w:p>
      <w:r>
        <w:rPr>
          <w:b/>
        </w:rPr>
        <w:t>E. 6.4.4</w:t>
      </w:r>
    </w:p>
    <w:p>
      <w:r>
        <w:t>On trouve aussi, en Macédoine, entre 18 et 23 Day Care Centers financés par l'Etat. Mais contrairement à ce qui avait été prévu, les communes ne les exploitent pas encore elles-mêmes. Le rôle de ces centres est de fournir, en premier lieu à des adolescents et des enfants atteints de handicaps mentaux et physiques et à leurs familles, des services communaux sous la forme de soins, d'ergothérapie et de différentes formes d'entraînement dont le but est d'améliorer leur participation active à la vie quotidienne. Une limite d'âge supérieure à l'admission des patients a été abrogée en 2006. La capacité d'accueil des centres existants est d'environ 25 personnes et ne semble pas encore épuisée avec les 363 personnes qu'ils comptent au total, dont plus de la moitié ont plus de 18 ans. Dans la plupart des centres, le personnel est composé de professionnels qualifiés des disciplines suivantes: pédagogie spéciale, travail social, soins médicaux et physiothérapie (cf. OSAR, op. cit., p. 11s et réf. cit.).</w:t>
      </w:r>
    </w:p>
    <w:p>
      <w:r>
        <w:rPr>
          <w:b/>
        </w:rPr>
        <w:t>E. 6.5.1</w:t>
      </w:r>
    </w:p>
    <w:p>
      <w:r>
        <w:t>En Macédoine, rangée par décision du Conseil fédéral du 25 juin 2003 dans les Etats dits sûrs (safe country), l'accès des ethnies Rom, Ashkali et Egyptienne à des institutions de santé peut être limité: Souvent, les membres de ces communautés n'ont toutefois pas les pièces justificatives qu'il leur faudrait pour bénéficier de prestations étatiques telles qu'une formation, l'aide sociale et les services médicaux (cf. OSAR, op. cit., p. 10 et réf. cit.). Il n'est pas fait mention des Torbesh dans le compte-rendu de l'OSAR, sans doute parce qu'à l'instar de ceux du Kosovo, ils semblent mieux traités que les membres des autres minorités de Macédoine. Coincés entre Macédoniens et Albanais, ils ont certes du mal à faire entendre leur voix, ce d'autant plus que bon nombre d'entre eux émigrent à l'étranger, souvent pour y travailler comme maçon partout en Europe, en particulier en Italie (Tanya Mangalakova, "Minorités : les Torbeshi veulent être reconnus", octobre 2010). Via le Parti pour l'avenir européen (PEI), ils n'en sont pas moins représentés au Parlement national de Macédoine. Au plan local, on les retrouve souvent dans les mêmes villages et les mêmes régions du pays. Leurs compétences et le soutien de la diaspora font que, pour la plupart, ils y vivent dans de bonnes conditions.</w:t>
      </w:r>
    </w:p>
    <w:p>
      <w:r>
        <w:rPr>
          <w:b/>
        </w:rPr>
        <w:t>E. 6.5.2</w:t>
      </w:r>
    </w:p>
    <w:p>
      <w:r>
        <w:t>Selon leurs déclarations, en Macédoine, les époux et leur aîné vivaient dans la maison du père du recourant. Celui-ci semble aussi n'avoir jamais été désoeuvré. Le couple n'était pas non plus démuni même si, trois ans après la naissance de leur enfant, l'épuisement de leurs ressources n'aurait plus permis aux époux de verser les pots-de-vin que leur auraient réclamés les médecins qui soignaient leur fils. Grâce aux revenus qu'il tirait de la culture du tabac et avec le soutien de ses quatre frères, également cultivateurs, le recourant a ainsi été en mesure de financer les opérations et autres soins nécessités par l'état de son aîné jusqu'au départ de la famille. Dans leur pays, les époux disposent ainsi d'un réseau familial et social sur lequel ils ont déjà pu compter et qu'ils pourront vraisemblablement à nouveau solliciter à leur retour. En outre, même s'il reste soumis à des contrôles médicaux pluridisciplinaires bisannuels, leur enfant ne requiert plus actuellement d'interventions spécifiques. Aussi, les coûts auxquels ses parents pourront encore éventuellement être appelés à participer sans qu'ils y soient tenus ne sont vraisemblablement plus comparables aux pots-de-vin qu'ils disent avoir dû verser avant leur départ. De fait, il y a lieu de rappeler que les recourants sont avant tout venus en Suisse pour que leur aîné puisse bénéficier de meilleures conditions de soins. En l'occurrence, le Tribunal constate que l'enfant a pu bénéficier en Suisse de tous les soins essentiels dont il avait besoin au point qu'il est permis d'affirmer qu'il n'existe plus aujourd'hui, compte tenu de l'amélioration de son état, de motif humanitaire déterminant pour conclure à l'inexigibilité de l'exécution du renvoi au sens de l'art. 83 al. 4 LEtr. Quant au cadet des frères, il n'a pas encore deux ans. Il est donc fortement lié à ses parents, qui l'imprègnent de leur mode de vie et de leur culture. Il devrait ainsi arriver à se réintégrer dans son pays sans trop de difficultés. Enfin, les époux n'ont pas fait valoir d'autres obstacles à l'exécution de leur renvoi, de nature à conduire à l'octroi d'une admission provisoire.</w:t>
      </w:r>
    </w:p>
    <w:p>
      <w:r>
        <w:rPr>
          <w:b/>
        </w:rPr>
        <w:t>E. 6.6</w:t>
      </w:r>
    </w:p>
    <w:p>
      <w:r>
        <w:t>Au vu de ce qui précède, l'exécution du renvoi apparaît en définitive comme pouvant être raisonnablement exigée, au sens de l'art. 83 al.4 LEtr, dans la mesure où elle ne fait pas apparaître une mise en danger concrète des recourants.</w:t>
      </w:r>
    </w:p>
    <w:p>
      <w:r>
        <w:rPr>
          <w:b/>
        </w:rPr>
        <w:t>E. 7.1</w:t>
      </w:r>
    </w:p>
    <w:p>
      <w:r>
        <w:t>Leur dossier ne fait pas non plus apparaître que les recourants pourraient être exposés, en Macédoine, à des traitements contraires aux droits humains au sens de l'art. 3 de la Convention du 4 novembre 1950 de sauvegarde des Droits de l'homme et des libertés fondamentales [CEDH, RS 0.101] ou à des préjudices au sens de l'art. 3 de la Convention du 10 décembre 1984 contre la torture et autres peines ou traitements cruels, inhumains ou dégradants [Conv. torture, RS 0.105]).</w:t>
      </w:r>
    </w:p>
    <w:p>
      <w:r>
        <w:rPr>
          <w:b/>
        </w:rPr>
        <w:t>E. 7.2</w:t>
      </w:r>
    </w:p>
    <w:p>
      <w:r>
        <w:t>L'art 3 CEDH recouvre aussi les difficultés à bénéficier de soins médicaux (ATF 2A.28/2004 du 7 mai 2004 consid. 3.6 in fine ; 2A.214/2002 du 23 août 2002 consid. 3.6; CourEDH, arrêt D. c. Royaume-Uni du 2 mai 1997, Recueil 1997 III p. 777 ss).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(CourEDH, arrêt Emre c. Suisse du 22 mai 2008, affaire no 42034/04 § 88).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l'art. 3 CEDH (CourEDH, arrêt N. c. Royaume-Uni du 27 mai 2008, affaire no 26565/05 § 30). La Cour européenne des droits de l'homme exige un seuil de gravité élevé pour que l'état de santé d'une personne lui permette de s'opposer à son expulsion (arrêt Emre § 92; arrêt N. c. Royaume-Uni § 42) (cf. ATF 2D_67/2009 du 4 février 2010 consid. 6.1). Dans le cas d'espèce, handicapé depuis sa naissance, l'ainé des enfants ne peut se déplacer qu'en fauteuil roulant. Les traitements prodigués en Suisse ont toutefois permis de stabiliser son l'état au point que ses problèmes de santé n'atteignent plus aujourd'hui le degré de gravité requis pour que son renvoi se heurte à l'art. 3 CEDH.</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9.1</w:t>
      </w:r>
    </w:p>
    <w:p>
      <w:r>
        <w:t>Cela étant, l'exécution du renvoi doit être déclarée conforme aux dispositions légales.</w:t>
      </w:r>
    </w:p>
    <w:p>
      <w:r>
        <w:rPr>
          <w:b/>
        </w:rPr>
        <w:t>E. 9.2</w:t>
      </w:r>
    </w:p>
    <w:p>
      <w:r>
        <w:t>Il s'ensuit que le recours doit être rejeté.</w:t>
      </w:r>
    </w:p>
    <w:p>
      <w:r>
        <w:rPr>
          <w:b/>
        </w:rPr>
        <w:t>E. 10</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Les recourants ont toutefois sollicité l'octroi de l'assistance judiciaire et leurs conclusions ne pouvaient être considérées comme, d'emblée, vouées à l'échec. En conséquence, le Tribunal renoncera à la perception de frais de procédure (cf. art. 65 al.1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