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E-5922/2013 vom 5. Februar 2014</w:t>
      </w:r>
    </w:p>
    <w:p>
      <w:r>
        <w:t>Bundesverwaltungsgericht, 2014-02-05, DE</w:t>
      </w:r>
    </w:p>
    <w:p>
      <w:r>
        <w:rPr>
          <w:b/>
        </w:rPr>
        <w:t xml:space="preserve">Quelle: </w:t>
      </w:r>
      <w:r>
        <w:t>https://mcp.opencaselaw.ch/entscheid/bvger_E-5922_2013</w:t>
      </w:r>
    </w:p>
    <w:p>
      <w:r>
        <w:t>FR: TAF E-5922/2013 du 5 février 2014</w:t>
      </w:r>
    </w:p>
    <w:p>
      <w:r>
        <w:t>IT: TAF E-5922/2013 del 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 (Art. 105 und Art. 108 Abs. 1 AsylG, Art. 48 Abs. 1 sowie Art. 52 VwVG).</w:t>
      </w:r>
    </w:p>
    <w:p>
      <w:r>
        <w:rPr>
          <w:b/>
        </w:rPr>
        <w:t>E. 2</w:t>
      </w:r>
    </w:p>
    <w:p>
      <w:r>
        <w:t>Mit Beschwerde kann die Verletzung von Bundesrecht und die unrichtige oder unvollständige Feststellung des rechtserheblichen Sachverhalts gerügt werden (Art. 106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angefochtenen Entscheides aus, die Aussagen der Beschwerdeführenden seien in zentralen Bereichen krass widersprüchlich, so dass die Vorbringen nicht geglaubt werden könnten. Der Beschwerdeführer habe angegeben, nachdem ihm seine Frau in der Nacht mitgeteilt habe, dass seine Schwester verschwunden sei, habe er seinen Vater angerufen und sei nach Hause gefahren. Kurze Zeit später sei sein Vater dort eingetroffen und habe seiner Frau Vorhaltungen gemacht; nach zwanzig Minuten er wieder gegangen. Am nächsten Morgen habe der Beschwerdeführer sich mit seiner Frau und den Kindern zum Vater begeben, welcher ihr mit dem Tod gedroht habe, falls sie von der heimlichen Liebesbeziehung gewusst haben sollte. Die Beschwerdeführerin habe im Widerspruch zu diesen Aussagen angegeben, ihr Mann sei eine halbe Stunde nach ihrem Anruf zu Hause eingetroffen und habe sich dann zu seinem Vater begeben, von wo er um fünf Uhr morgens in Begleitung seines Vaters und seiner Brüder zurückgekehrt sei. Der Schwiegervater habe sie bedroht und schlagen wollen, doch sei ihr Mann und seine Brüder dazwischen gegangen. Die Beschwerdeführerin habe weiter angegeben, noch am gleichen Tag die Ausreise angetreten zu haben, wogegen der Beschwerdeführer ausgeführt habe, sie seien erst zwei Wochen nach diesem Vorfall ausgereist. Weiter habe er vorgebracht, seine Schwester sei von einem Cousin seines Vaters getötet worden, während die Beschwerdeführerin gesagt habe, der Vater habe sie getötet. Anlässlich der BzP habe der Beschwerdeführer angegeben, er habe von der Türkei aus unter anderem zwecks Vermittlung den Stammesführer eingeschaltet, wogegen er dies bei der Anhörung auf eine entsprechende Frage hin verneint habe. Die Beschwerdeführerin habe zudem zu Protokoll gegeben, ihr Sohn sei beim Verschwinden der Schwägerin ein Monat alt gewesen, was angesichts des Geburtsdatums (...) mit dem angegebenen Ausreisedatum (...) nicht vereinbar sei. Nebst diesen Widersprüchen fehle es den Schilderungen in jeglicher Hinsicht an Substanz, Logik und Anschaulichkeit. Insbesondere sei es nicht glaubhaft, dass sich die Schwester des Beschwerdeführers regelmässig heimlich im Haus der Beschwerdeführenden mit ihrem Liebhaber getroffen habe. Zum einen sei dies mit der Realität einer in traditionellen Stam-messtrukturen eingebundenen Gesellschaft nicht zu vereinbaren und deshalb kaum denkbar. Zum anderen habe die Beschwerdeführerin nicht zu erklären vermocht, was sie dazu bewogen haben sollte, diese heimlichen Treffen in ihrem Haus zu tolerieren; auch genauere, anschauliche Angaben zu diesen Treffen habe sie nicht machen können. Ihren Schilderungen fehle es an nachvollziehbaren Emotionen und Gedanken, insbesondere im Zusammenhang mit der Tötung der Schwester des Beschwerdeführers. Die stereotypen Aussagen würden nicht den Eindruck von real Erlebtem vermitteln. Hätte der Beschwerdeführer tatsächlich befürchtet, sein Vater könnte seine Frau töten, hätte er sich wohl vor der Ausreise an einen Vermittler oder an einen seiner Brüder gewandt und so nach einer Lösung gesucht. Seine Erklärung, er habe im Irak dazu keine Möglichkeit gehabt und mit keinem Verwandten oder Stammesangehörigen über die Vorfälle gesprochen, vermöge nicht zu überzeugen. Insbesondere scheine nicht plausibel, dass er sich erst von der Türkei aus an Personen gewandt habe, welche seinen Vater umstimmen sollten. Die Vorbringen hielten den Anforderungen an die Glaubhaftigkeit gemäss Art. 7 AsylG nicht stand, so dass deren Asylrelevanz nicht geprüft werden müsse. Die Beschwerdeführenden erfüllten die Flüchtlingseigenschaft demzufolge nicht, und die Asylgesuche seien abzulehnen.</w:t>
      </w:r>
    </w:p>
    <w:p>
      <w:r>
        <w:rPr>
          <w:b/>
        </w:rPr>
        <w:t>E. 4.2</w:t>
      </w:r>
    </w:p>
    <w:p>
      <w:r>
        <w:t>In der Beschwerde wird dem entgegengehalten, aus den Ausführungen der Beschwerdeführenden gehe offenbar nicht klar hervor, was sich nach dem Verschwinden der Schwester des Beschwerdeführers abgespielt habe. Tatsächlich habe mit deren Flucht eine turbulente Zeit begonnen. Der Beschwerdeführer sei ab dem Zeitpunkt, in welchem er über die Flucht informiert worden sei, in ständigem Kontakt mit Angehörigen gestanden. Es sei zu klären gewesen, was genau geschehen sei, und vor allem habe er seinen Vater beruhigen und beschwichtigen müssen, damit dieser nicht die Tötung seiner eigenen Tochter und seiner Schwiegertochter veranlasse. Natürlich habe grosse Aufregung geherrscht, und es seien spontane Treffen organisiert worden. Die Ausführungen der Beschwerdeführenden seien insofern nicht widersprüchlich, als der Beschwerdeführer sofort nach dem Telefonat mit seiner Frau seinen Vater kontaktiert habe. Nachdem er nach Hause gekommen sei, sei auch sein Vater mit seinen drei Brüdern eingetroffen. Nach einer ersten, emotional sehr geladenen Unterredung seien sie wieder nach Hause gegangen. Am nächsten Morgen seien sie zu seinem Vater gegangen, um die Wogen zu glätten. Als ihnen klar geworden sei, dass dieser einen Ehrenmord an seiner Tochter begehen werde und auch die Beschwerdeführerin als Mitwisserin getötet werden könnte, hätten sie sich entschlossen, das Land zu verlassen. Die Aussage der Beschwerdeführerin, sie seien noch am selben Tag ausgereist, sei so zu verstehen, dass sie innerhalb kürzester Zeit den Entschluss gefasst hätten auszureisen. Da sie damals gesundheitlich angeschlagen gewesen sei, sei ihr jene Zeit nur in groben Zügen in Erinnerung geblieben. Es sei daher durchaus möglich, dass sie nicht am Tag des Vorfalls, sondern einige Tage später ausgereist sei. Auch der Beschwerdeführer könne sich nicht auf den Tag genau erinnern. Es sei schwierig gewesen, in einer solchen Situation einen klaren Kopf zu bewahren, dennoch könne festgehalten werden, dass sie nur wenige Tage nach dem Vorfall zum Bruder der Beschwerdeführerin gegangen seien und die Beschwerdeführerin noch an jenem Tag die Reise (...) angetreten habe. Mit der Aussage, der Schwiegervater habe seine Tochter umgebracht, habe die Beschwerdeführerin nicht gemeint, dass er dies eigenhändig getan habe, sondern dass er es als Stammesvater entschieden habe. Es handle sich hierbei nicht um einen Widerspruch in den Aussagen. Um sei-nen Vater vom Vorhaben abzubringen, seine Tochter zu töten, habe der Beschwerdeführer Freunde, Stammesführer von Freunden und Verwandte aus seinem Stamm eingeschaltet. Auch wenn er anlässlich der BzP angegeben habe, seinen Stammesführer kontaktiert zu haben, dürfe diese Ungenauigkeit nicht als Widerspruch qualifiziert werden. Schliesslich sei darauf hinzuweisen, dass die Beschwerdeführerin keinen Bildungshintergrund habe und zeitliche Abfolgen in verschiedener Hinsicht verschoben wahrnehme. Ausserdem habe sie nach der Geburt ihres Sohnes gesundheitliche Schwierigkeiten gehabt. Aus dem Sachverhalt gehe hervor, dass die Beschwerdeführerin mit dem Tod bedroht werde und ihr ein Ehrenmord drohe. Die lokalen Polizei- und Sicherheitskräfte seien trotz Aufklärungsbemühungen und Strafgesetzrevisionen im Allgemeinen nach wie vor unsensibel gegenüber geschlechts-spezifischen Übergriffen, und es sei davon auszugehen, dass sie von diesen keinen Schutz erhalten werde. Wie der Ehrenmord an ihrer Schwägerin gezeigt habe, bestehe keine innerkurdische Fluchtalternative, und auch eine Fluchtalternative im Zentral- und Südirak sei zu verneinen.</w:t>
      </w:r>
    </w:p>
    <w:p>
      <w:r>
        <w:rPr>
          <w:b/>
        </w:rPr>
        <w:t>E. 5.1</w:t>
      </w:r>
    </w:p>
    <w:p>
      <w:r>
        <w:t>Das Bundesverwaltungsgericht gelangt nach Prüfung der Akten in Übereinstimmung mit dem BFM zum Schluss, dass es den Beschwerdeführenden nicht gelingt, eine asylrechtlich relevante Verfolgung im Heimatstaat glaubhaft zu machen. Mit der Vorinstanz ist festzustellen, dass die Aussagen der Beschwerdeführenden widersprüchlich ausgefallen sind und sich daraus kein einheitliches Bild der geltend gemachten Vorfälle ergibt. Auch die Ausführungen in der Beschwerde vermögen die Widersprüche nicht zu erklären und sind nicht geeignet, die vorgebrachten Ereignisse glaubhaft erscheinen zu lassen. Dass in der Nacht des Verschwindens der Schwester des Beschwerdeführers grosse Aufregung geherrscht habe und die Beschwerdeführerin gesundheitlich angeschlagen gewesen sei, weshalb ihr diese Zeit nur in groben Zügen in Erinnerung geblieben sei, kann als Erklärung für die erheblichen Widersprüche in den Schilderungen der Beschwerdeführenden nicht überzeugen. Entgegen den Vorbringen in der Beschwerde kann die Aussage der Beschwerdeführerin, sie sei noch am selben Tag (nach dem Verschwinden ihrer Schwägerin) ausgereist, nicht dahingehend verstanden werden, dass sie innerhalb von kürzester Zeit den Entschluss gefasst habe, das Land zu verlassen, zumal ihre diesbezüglichen Aussagen sehr klar sind und sie diese auf Vorhalt des Widerspruches zu den Angaben ihres Mannes ausdrücklich bestätigte (vgl. Akten BFM A12/11 S. 7 f.). Weiter ist mit dem BFM darauf hinzuweisen, dass die Ausführungen der Beschwerdeführerin, ihr Sohn sei beim Vorfall etwa ein Monat alt gewesen (vgl. A12/11 S. 5), nicht mit den angegebenen Daten vereinbar ist. Wenngleich zu berücksichtigen ist, dass ihre Aussagen zum Ehrenmord aufgrund von Angaben Dritter erfolgten, kann die Erklärung, ihr Schwiegervater habe die Schwägerin getötet, im Kontext der gestellten Fragen nicht dahingehend interpretiert werden, als dass damit nicht die tatsächliche Tötung gemeint gewesen sei, sondern lediglich die Verantwortung hierfür. Im Übrigen kann bezüglich der weiteren Widersprüche auf die zutreffenden Erwägungen in der angefochtenen Verfügung verwiesen werden. Das Gericht schliesst sich sodann der Einschätzung der Vorinstanz an, dass es den Schilderungen insgesamt an Substanz und Anschaulichkeit fehlt, und angesichts des Vorgebrachten zu erwartende Emotionen und Gedanken höchstens ansatzweise auszumachen sind.</w:t>
      </w:r>
    </w:p>
    <w:p>
      <w:r>
        <w:rPr>
          <w:b/>
        </w:rPr>
        <w:t>E. 5.2</w:t>
      </w:r>
    </w:p>
    <w:p>
      <w:r>
        <w:t>Das Bundesverwaltungsgericht stellt zusammenfassend fest, dass es den Beschwerdeführenden nicht gelungen ist, asylrechtlich relevante Verfolgungsgründe im Sinne von Art. 3 und Art. 7 AsylG glaubhaft zu machen, weshalb das Bundesamt die Flüchtlingseigenschaft zu Recht verneinte und die Asylgesuche ablehnte.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Irak ist demnach unter dem Aspekt von Art. 5 AsylG rechtmässig. Sodann ergeben sich weder aus den Aussagen der Beschwerde­führen­den noch aus den Akten Anhaltspunkte dafür, dass sie für den Fall einer Ausschaffung in den Irak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m.w.H.). Auch die allgemeine Menschenrechtssituation im Irak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Sind Kinder von einem allfälligen Wegweisungsvollzug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(BVGE 2009/51 E. 5.6, m.w.H.).</w:t>
      </w:r>
    </w:p>
    <w:p>
      <w:r>
        <w:rPr>
          <w:b/>
        </w:rPr>
        <w:t>E. 7.3.2</w:t>
      </w:r>
    </w:p>
    <w:p>
      <w:r>
        <w:t>In den drei kurdischen Provinzen des Nordiraks, die unter Kontrolle des so genannten Kurdistan Regional Government (KRG) stehen, herrscht gemäss der aktuellen Rechtsprechung des Bundesverwaltungsgerichts keine Situation allgemeiner Gewalt, und die dortige politische Lage ist nicht dermassen angespannt, dass eine Rückführung als generell unzumutbar betrachtet werden müsste. Die Anordnung des Wegweisungsvollzugs setzt praxisgemäss voraus, dass die betreffende Person ursprünglich aus der Region stammt oder längere Zeit dort gelebt hat und über ein soziales Netz oder über Beziehungen zu den herrschenden Parteien verfügt. Die Rückreise für Familien mit Kindern kann wegen einer möglichen konkreten Gefährdung problematisch sein, da oft weder ein ausreichendes Einkommen noch adäquater Wohnraum in Aussicht stehen (vgl. BVGE 2008/5 E. 7.5.8 S. 72). Auch bei der Rückführung alleinstehender Frauen und kranker sowie betagter Menschen ist grosse Zurückhaltung geboten. Die Beschwerdeführenden stammen aus F._______ (Provinz Dohuk) und haben dort bis zu ihrer Ausreise ununterbrochen gelebt. Soweit aus den Akten ersichtlich ist, sind sie gesund und im erwerbsfähigen Alter. Der Beschwerdefürer arbeitete eigenen Angaben zufolge (...). Ihre wirtschaftliche Situation sei gut gewesen. Sie verfügen, selbst wenn die Verwandten seitens des Beschwerdeführers unberücksichtigt bleiben, in F._______ über ein familiäres Beziehungsnetz, und es ist davon auszugehen, dass sie einen soliden Freundes- und Bekanntenkreis haben, so dass das Beziehungsnetz als tragfähig bezeichnet werden kann. Insgesamt liegen somit Umstände vor, welche den Vollzug der Wegweisung trotz der geforderten Zurückhaltung bei der Beurteilung als zumutbar erscheinen lassen. Es ist anzunehmen, dass sich die Beschwerdeführenden nach der knapp einjährigen Landesabwesenheit wieder eine Existenz werden aufbauen können und die Reintegration im Heimatland durch das vorhandene Beziehungsnetz erleichtert wird. Hinsichtlich der Kinder der Beschwerdeführenden ist angesichts ihres Alters und der Dauer des Aufenthaltes in der Schweiz nicht von einer starken Verwurzelung in die hiesigen Verhältnisse auszugehen, so dass eine Entwurzelung im Bezug auf den Heimatstaat erfolgt wäre, welche den Wegweisungsvollzug unzumutbar erscheinen liesse.</w:t>
      </w:r>
    </w:p>
    <w:p>
      <w:r>
        <w:rPr>
          <w:b/>
        </w:rPr>
        <w:t>E. 7.3.3</w:t>
      </w:r>
    </w:p>
    <w:p>
      <w:r>
        <w:t>Nach dem Gesagten erweist sich der Vollzug der Wegweisung unter Berücksichtigung der dargelegten begünstigenden Umstände sowie des Kindeswohls als zumutbar.</w:t>
      </w:r>
    </w:p>
    <w:p>
      <w:r>
        <w:rPr>
          <w:b/>
        </w:rPr>
        <w:t>E. 7.4</w:t>
      </w:r>
    </w:p>
    <w:p>
      <w:r>
        <w:t>Schliesslich obliegt es den Beschwerdeführenden,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und vollständig feststellt (Art. 106 AsylG). Die Beschwerde ist abzuweisen.</w:t>
      </w:r>
    </w:p>
    <w:p>
      <w:r>
        <w:rPr>
          <w:b/>
        </w:rPr>
        <w:t>E. 9</w:t>
      </w:r>
    </w:p>
    <w:p>
      <w:r>
        <w:t>Bei diesem Verfahrensausgang wären den Beschwerdeführenden die Verfahrenskosten aufzuerlegen (Art. 63 Abs. 1 und 5 VwVG; Art. 1-3 des Reglements vom 21. Februar 2008 über die Kosten und Entschädigungen vor dem Bundesverwaltungsgericht [VGKE, SR 173.320.2]). Da sich indessen die Rechtsbegehren nicht von vornherein als aussichtslos erwiesen haben und die Bedürftigkeit der Beschwerdeführenden belegt ist, ist in Gutheissung des Gesuchs um Gewährung der unentgeltlichen Prozessführung auf die Auferlegung der Kosten des Verfahrens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