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E-5921/2006 vom 7. September 2009</w:t>
      </w:r>
    </w:p>
    <w:p>
      <w:r>
        <w:t>Bundesverwaltungsgericht, 2009-09-07, FR</w:t>
      </w:r>
    </w:p>
    <w:p>
      <w:r>
        <w:rPr>
          <w:b/>
        </w:rPr>
        <w:t xml:space="preserve">Quelle: </w:t>
      </w:r>
      <w:r>
        <w:t>https://mcp.opencaselaw.ch/entscheid/bvger_E-5921_2006</w:t>
      </w:r>
    </w:p>
    <w:p>
      <w:r>
        <w:t>FR: TAF E-5921/2006 du 7 septembre 2009</w:t>
      </w:r>
    </w:p>
    <w:p>
      <w:r>
        <w:t>IT: TAF E-5921/2006 del 7 settembre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 Commission au 31 décembre 2006 sont traités par le Tribunal dans la mesure où il est compétent (art. 53 al. 2 phr. 1 LTAF).</w:t>
      </w:r>
    </w:p>
    <w:p>
      <w:r>
        <w:rPr>
          <w:b/>
        </w:rPr>
        <w:t>E. 1.3</w:t>
      </w:r>
    </w:p>
    <w:p>
      <w:r>
        <w:t>Le nouveau droit de procédure s'applique (art. 53 al. 2 phr. 2 LTAF).</w:t>
      </w:r>
    </w:p>
    <w:p>
      <w:r>
        <w:rPr>
          <w:b/>
        </w:rPr>
        <w:t>E. 1.4</w:t>
      </w:r>
    </w:p>
    <w:p>
      <w:r>
        <w:t>Le recourant a qualité pour recourir. Présenté dans la forme et les délais prescrits par la loi, le recours est recevable (48ss PA et 108 al. 1 LAsi).</w:t>
      </w:r>
    </w:p>
    <w:p>
      <w:r>
        <w:rPr>
          <w:b/>
        </w:rPr>
        <w:t>E. 2</w:t>
      </w:r>
    </w:p>
    <w:p>
      <w:r>
        <w:t>A titre préliminaire, il convient de relever que le grief de nature formelle soulevé dans le recours précité, à savoir une violation des règles régissant la langue de la procédure, a d'ores et déjà été examiné dans la décision incidente de la Commission du 21 septembre 2006, à laquelle il suffit de renvoyer. Dès lors que la décision querellée avait été rédigée en langue française, langue du canton de résidence du recourant, le grief de nature formelle doit donc être considéré comme infondé.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CRA [JICRA] 2000 no 9 consid. 5a p. 78 et JICRA 1997 no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no 24 p. 171ss et JICRA 1993 no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no 21 p. 134ss et JICRA 1993 no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4.1</w:t>
      </w:r>
    </w:p>
    <w:p>
      <w:r>
        <w:t>En l'occurrence, le Tribunal considère que le recourant a, de manière générale, livré un récit confus et peu circonstancié et qu'il n'a pas rendu vraisemblable l'existence d'indices concrets fondant objectivement sa crainte subjective d'être arrêté.</w:t>
      </w:r>
    </w:p>
    <w:p>
      <w:r>
        <w:rPr>
          <w:b/>
        </w:rPr>
        <w:t>E. 4.1.1</w:t>
      </w:r>
    </w:p>
    <w:p>
      <w:r>
        <w:t>L'intéressé a déclaré avoir appris par un membre du IYC, des voisins et des amis, qu'il était recherché par les autorités nigérianes en raison de ses activités pour l'IYC.</w:t>
      </w:r>
    </w:p>
    <w:p>
      <w:r>
        <w:rPr>
          <w:b/>
        </w:rPr>
        <w:t>E. 4.1.2</w:t>
      </w:r>
    </w:p>
    <w:p>
      <w:r>
        <w:t>Or, il faut, tout d'abord, rappeler que, de pratique constante, le fait d'avoir appris un événement par des tiers ne suffit pas pour établir l'existence d'une crainte fondée de future persécution (cf. dans ce sens Alberto Achermann/Christina Hausammann, Les notions d'asile et de réfugié en droit suisse, in : Walter Kälin (éd), Droit des réfugiés, Enseignement de 3e cycle de droit 1990, Fribourg 1991, p. 44)</w:t>
      </w:r>
    </w:p>
    <w:p>
      <w:r>
        <w:rPr>
          <w:b/>
        </w:rPr>
        <w:t>E. 4.1.3</w:t>
      </w:r>
    </w:p>
    <w:p>
      <w:r>
        <w:t>Il convient, ensuite, de relever que l'intéressé n'a pas rendu crédible son appartenance au IYC. En effet, ses propos relatifs à ses motivations et aux circonstances de son adhésion dans ce mouvement se sont révélés très peu détaillés, celui-ci s'étant contenté de la justifier par son appartenance à l'ethnie Ijaw (pv. de l'audition fédérale p. 2-3). De plus, il y a lieu de mettre en évidence sa description vague et imprécise de la carte de membre ainsi que des activités qu'il aurait exercées pour l'IYC. Le peu d'informations qu'il a été en mesure de fournir sur le but, l'organisation et la structure du IYC permettent également de douter de son réel engagement (pv. de l'audition fédérale p. 3-4). En outre, le recourant a déclaré parler l'igbo et a été auditionné en anglais. Il n'a aucunement fait mention de la langue Ijaw. Or, selon les informations à disposition du Tribunal, les personnes d'ethnie Ijwa parle le dialecte Ijaw (Ijo), mais pas la langue igbo, même pas en deuxième langue, ce qui rend également peu crédible son appartenance au IYC.</w:t>
      </w:r>
    </w:p>
    <w:p>
      <w:r>
        <w:rPr>
          <w:b/>
        </w:rPr>
        <w:t>E. 4.1.4</w:t>
      </w:r>
    </w:p>
    <w:p>
      <w:r>
        <w:t>Par ailleurs, l'intéressé a tenu des propos fort confus et même divergents sur les personnes qui lui auraient appris qu'il était recherché par les autorités nigérianes, sur les différents endroits où la police se serait rendue pour le chercher ainsi que sur la chronologie de ces événements (pv. de l'audition sommaire p. 4-5, pv. de l'audition fédérale p. 5-6). Ses justifications relatives à sa crainte d'être arrêté sur la route en allant chez sa mère n'ont pas non plus été crédibles puisqu'il a ensuite indiqué s'être rendu chez un ami à Lagos, nécessitant l'accomplissement d'un trajet alors plus long (pv. de l'audition sommaire p. 5, pv. de l'audition fédérale p. 6).</w:t>
      </w:r>
    </w:p>
    <w:p>
      <w:r>
        <w:rPr>
          <w:b/>
        </w:rPr>
        <w:t>E. 4.1.5</w:t>
      </w:r>
    </w:p>
    <w:p>
      <w:r>
        <w:t>Enfin, il y a lieu de s'étonner que le recourant ait quitté son pays d'origine par l'aéroport international, lequel est muni de bonnes mesures de contrôle. Ce comportement ne constitue pas celui d'une personne qui se sent réellement menacée. De plus, s'il a effectivement tenté de faire des démarches en vue d'obtenir un visa pour quitter légalement son pays, cela signifie qu'il est en possession d'un passeport, ce qu'il a nié (pv. de l'audition sommaire p. 3-4). En outre, ses indications stéréotypées et peu circonstanciées sur l'ensemble de son voyage depuis Lagos jusqu'en Suisse rendent également les circonstances de son départ peu vraisemblables (pv. de l'audition sommaire p. 5-6), ses explications sur le financement de celui-ci ayant aussi été peu plausibles (pv. de l'audition fédérale p. 8-9). Ces différents éléments permettent pour le moins de conclure que l'intéressé dissimule les circonstances exactes de son départ du pays.</w:t>
      </w:r>
    </w:p>
    <w:p>
      <w:r>
        <w:rPr>
          <w:b/>
        </w:rPr>
        <w:t>E. 4.1.6</w:t>
      </w:r>
    </w:p>
    <w:p>
      <w:r>
        <w:t>Au demeurant, force est de constater que le mémoire de recours ne continent aucun argument ou moyen de preuve susceptible d'établir sa crainte fondée de persécution en cas de retour dans son pays d'origine ou de remettre en cause le bien fondé de la décision querellée, à laquelle il y a lieu, pour le surplus, de renvoyer.</w:t>
      </w:r>
    </w:p>
    <w:p>
      <w:r>
        <w:rPr>
          <w:b/>
        </w:rPr>
        <w:t>E. 4.2</w:t>
      </w:r>
    </w:p>
    <w:p>
      <w:r>
        <w:t>S'agissant des autres difficultés d'importance mineure mentionnées par l'intéressé lors de son audition sommaire, il sied de constater que de telles mesures ne sauraient être pertinentes en matière d'asile, dans la mesure où elles serviraient à des fins légitimes de droit public et où elles ne seraient pas dictées par l'un des motifs exhaustivement énumérés à l'art. 3 LAsi.</w:t>
      </w:r>
    </w:p>
    <w:p>
      <w:r>
        <w:rPr>
          <w:b/>
        </w:rPr>
        <w:t>E. 4.3</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6.5</w:t>
      </w:r>
    </w:p>
    <w:p>
      <w:r>
        <w:t>D'après la jurisprudence relative à l'ancien art. 14a al. 6 LSEE, à laquelle il convient encore de se référer sous le nouveau droit (cf. consid. 8 ci-dessous), si les conditions de cette disposition sont remplies, il n'y a pas lieu d'octroyer une admission provisoire, même s'il y a mise en danger concrète en raison de l'exécution du renvoi dans son pays d'origine ou de provenance, et pour autant que cette mesure soit licite et possible (cf. JICRA 2006 n° 23 précitée consid. 7.7 p. 245ss).</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comme mentionné ci-dessus, le recourant n'a pas démontré à satisfaction qu'il existait pour lui un véritable risque concret et sérieux, au-delà de tout doute raisonnable, d'être victime de tortures, ou de traitements inhumains ou dégradants en cas de renvoi au Nigéria.</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A titre préliminaire, il convient d'examiner si l'intéressé doit être exclu de l'examen de l'exigibilité de l'exécution du renvoi en raison de comportements délictueux.</w:t>
      </w:r>
    </w:p>
    <w:p>
      <w:r>
        <w:rPr>
          <w:b/>
        </w:rPr>
        <w:t>E. 8.2</w:t>
      </w:r>
    </w:p>
    <w:p>
      <w:r>
        <w:t>L'art. 83 al. 7 LEtr, entré en vigueur le 1er janvier 2008, remplace l'ancien art. 14a al. 6 LSEE. D'après le message du Conseil fédéral concernant la loi sur les étrangers du 8 mars 2002 (FF 2002 3469), le contenu de la nouvelle disposition reprend la réglementation antérieure, de sorte qu'il n'y pas lieu de s'écarter de la pratique et de la jurisprudence développées sous l'empire de l'ancien art. 14a al. 6 LSEE (cf. not. JICRA 2004 n° 39 et références citées). L'art. 83 al. 7 LEtr permet de renvoyer un étranger dans un Etat où il ne serait normalement pas raisonnablement exigible de le faire, dans la mesure où cet étranger a compromis la sécurité et l'ordre public ou qu'il leur a porté gravement atteinte. En effet, l'art. 83 al. 7 let. a LEtr dispose que l'admission provisoire n'est pas ordonnée lorsque "l'étranger a été condamné à une peine privative de longue durée en Suisse ou à l'étranger ou a fait l'objet d'une mesure pénale au sens des art. 64 ou 61 du code pénal". De même, la lettre b prévoit qu'il ne sera pas ordonné d'admission provisoire si l'étranger "atteinte de manière grave ou répétée à la sécurité et à l'ordre publics" ou les met en danger. A cet égard, l'étranger contrevient à l'ordre public (sur cette notion, cf. ATAF 2007/32 consid. 3.5 p. 388) lorsqu'il commet un crime ou un délit ou lorsqu'il enfreint gravement et de manière répétée des prescriptions légales ou des décisions prises en application de ces prescriptions. L'ordre public couvre, en outre, les valeurs sur lesquelles se fonde l'ordre juridique (FF 1978 184). Dans son message du 8 mars 2002 relatif à cette loi, le Conseil fédéral mentionne que "la sécurité et l'ordre publics constituent le terme générique des biens juridiquement protégés: l'ordre public comprend l'ensemble des représentations non écrites de l'ordre, dont le respect doit être considéré selon l'opinion sociale et ethnique (recte: éthique) dominante comme une condition inéluctable d'une cohabitation humaine ordonnée. La sécurité publique signifie l'inviolabilité de l'ordre juridique objectif, des biens juridiques des individus (vie, santé, liberté, propriété, etc.) ainsi que des institutions de l'Etat. Il y a ainsi violation de la sécurité et de l'ordre publics notamment en cas de violation importante ou répétée des prescriptions légales ou de décisions d'autorités et en cas de non-accomplissement d'obligations de droit public ou privé. Tel est également le cas lorsque les actes individuels ne justifient pas en eux-mêmes une révocation d'autorisation [l'art. 62 let. b LEtr la prévoit en cas de condamnation à une peine privative de liberté de longue durée] mais que leur répétition montre que la personne concernée n'est pas prête à se conformer à l'ordre en vigueur" (FF 2002 p. 3564). Il en va de même, mutatis mutandis, pour le refus d'octroi d'une admission provisoire au sens de l'art. 83 al. 7 let a et b LEtr.</w:t>
      </w:r>
    </w:p>
    <w:p>
      <w:r>
        <w:rPr>
          <w:b/>
        </w:rPr>
        <w:t>E. 8.3</w:t>
      </w:r>
    </w:p>
    <w:p>
      <w:r>
        <w:t>En l'espèce, le recourant a été condamné (cf. let. H supra) à une peine privative de liberté de 48 mois ferme et à une amende Fr. 300.- pour crime et contravention à la LStup (vente de 259 gr. de cocaïne à différentes personnes, soit une quantité de plus de quatorze fois supérieure à la limite du cas grave) ainsi que pour contravention à la LBA. Cette condamnation a été confirmée par la Cour d'appel pénal du Tribunal cantonale, qui a rejeté en date du (...) l'appel formé par l'intéressé. Le Tribunal retient donc qu'il a été condamné à une peine privative de longue durée au sens de l'art. 83 al. 7 let. a, dont l'application dans le cas d'espèce est dès lors évidente. De plus, il convient de relever que le comportement du recourant constitue une violation grave de l'ordre et de la sécurité publics, d'autant plus qu'il a été condamné pour crime et contravention à la LStup et à la LBA. A cet égard, il sied de rappeler que la protection de la collectivité exige une attitude spécialement vigilante et sévère face au développement du marché de la drogue, et qu'il y a lieu en conséquence de faire preuve d'une grande fermeté vis-à-vis des étrangers qui ont contribué à la propagation de ce fléau (cf. JICRA 2006 n° 30 précitée consid. 6.3.1. p. 326).</w:t>
      </w:r>
    </w:p>
    <w:p>
      <w:r>
        <w:rPr>
          <w:b/>
        </w:rPr>
        <w:t>E. 8.4</w:t>
      </w:r>
    </w:p>
    <w:p>
      <w:r>
        <w:t>Partant, le Tribunal considère que la quotité de la peine infligée à l'intéressé en raison de son comportement délictueux est suffisamment élevée pour que l'art. 83 al. 7 let. a LEtr trouve son application. Il n'y a dès lors pas lieu de se pencher sur le caractère raisonnablement exigible de l'exécution du renvoi de l'intéressé, une éventuelle admission provisoire à ce titre étant exclue.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Il est compensé avec le montant de l'avance de frais versé par le recourant en date du 12 octobre 2006.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