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E-5920/2011 vom 21. November 2012</w:t>
      </w:r>
    </w:p>
    <w:p>
      <w:r>
        <w:t>Bundesverwaltungsgericht, 2012-11-21, DE</w:t>
      </w:r>
    </w:p>
    <w:p>
      <w:r>
        <w:rPr>
          <w:b/>
        </w:rPr>
        <w:t xml:space="preserve">Quelle: </w:t>
      </w:r>
      <w:r>
        <w:t>https://mcp.opencaselaw.ch/entscheid/bvger_E-5920_2011</w:t>
      </w:r>
    </w:p>
    <w:p>
      <w:r>
        <w:t>FR: TAF E-5920/2011 du 21 novembre 2012</w:t>
      </w:r>
    </w:p>
    <w:p>
      <w:r>
        <w:t>IT: TAF E-5920/2011 del 21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in Berücksichtigung der Zwischenverfügung des Gerichts vom 3. November 2011 ausschliesslich gegen den Vollzug der von der Vorinstanz angeordneten Wegweisung. Die Verfügung des BFM vom 26. September 2011 ist, soweit sie die Frage der Flüchtlingseigenschaft und der Asylgewährung betrifft (Ziffern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 abgesehen von den formellen Rügen - lediglich die Frage, ob das Bundesamt den Vollzug der Wegweisung zu Recht als zulässig, zumutbar und möglich erklärt hat.</w:t>
      </w:r>
    </w:p>
    <w:p>
      <w:r>
        <w:rPr>
          <w:b/>
        </w:rPr>
        <w:t>E. 4.1</w:t>
      </w:r>
    </w:p>
    <w:p>
      <w:r>
        <w:t>Der Beschwerdeführer macht in formeller Hinsicht geltend, die Vorinstanz habe die Begründungspflicht verletzt, weil sie die relevanten Herkunftsländerinformationen, auf welche sie ihren Entscheid stütze, nicht offengelegt habe. Insbesondere habe sie es versäumt, nähere Angaben zu ihrer Dienstreise nach Sri Lanka zu machen. Das BFM sei deshalb anzuweisen, sämtliche Herkunftsländerinformationen, auf welche es seinen Entscheid stütze, mittels Quellenangaben offenzulegen. Der gebotenen Begründungspflicht sei die Vorinstanz auch deshalb nicht in genügendem Masse nachgekommen, weil sie in der angefochtenen Verfügung ohne ausreichende Begründung von der langjährigen Praxis des Bundesverwaltungsgerichts abgewichen sei. Daher sei die angefochtene Verfügung in den Dispositivpunkten 3, 4 und 5 (recte: 4 und 5) aufzuheben und zur Neubeurteilung der Sache an das Bundesamt zurückzuweisen.</w:t>
      </w:r>
    </w:p>
    <w:p>
      <w:r>
        <w:rPr>
          <w:b/>
        </w:rPr>
        <w:t>E. 4.2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und zudem alle Unterlagen, welche grundsätzlich geeignet sind, in einem konkreten Verfahren als Beweismittel zu dienen (vgl. dazu BGE 132 V 387 E. 3.2 S. 389, BGE 121 I 225 E. 2a S. 227, BGE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4.4.1</w:t>
      </w:r>
    </w:p>
    <w:p>
      <w:r>
        <w:t>Soweit in der Beschwerde gerügt wird, die Vorinstanz habe die Begründungspflicht verletzt, indem sie es unterlassen habe, die relevanten Herkunftsländerinformationen, auf welche sie ihren Entscheid stütze, offenzulegen, ist Folgendes festzuhalten: In der angefochtenen Verfügung ist kein ausdrücklicher Hinweis auf einen konkreten Dienstreisebericht enthalten. Indessen ist unbestritten, dass das Bundesamt im (...) eine Dienstreise nach Sri Lanka durchführte, um Erkenntnisse zur dortigen Lage nach dem Ende des Bürgerkriegs und zur Frage zu gewinnen, ob und inwiefern sich die Zumutbarkeit einer allfälligen Rückkehr sri-lankischer Asylsuchender in ihren Heimatstaat verändert habe. In der angefochtenen Verfügung wird angeführt, nach eingehender Prüfung und insbesondere auch in Berücksichtigung der UNHCR-Richtlinien zur Feststellung des internationalen Schutzbedarfs sri-lankischer Asylsuchender vom 5. Juli 2010 sei das Bundesamt zum Schluss gekommen, dass sich die allgemeine Sicherheitslage in Sri Lanka seit Mait 2009 deutlich entspannt habe. Andere Quellen werden nicht genannt. Es ist jedoch davon auszugehen, dass sich die Erkenntnisse des Bundesamts, welche zur Begründung der Praxisänderung hinsichtlich der Durchführbarkeit des Wegweisungsvollzugs herangezogen werden, auch auf das Ergebnis der Dienstreise vom (...) stützen. Ungeachtet dessen, ob in der angefochtenen Verfügung die Dienstreise erwähnt oder ob ein konkreter Bericht zur fraglichen Dienstreise und mithin ein spezifisches Aktenstück genannt wird, ist festzustellen, dass das aus dem verfassungsmässigen Anspruch auf rechtliches Gehör resultierende Recht des Beschwerdeführers auf Information über die wesentlichen Entscheidungsgrundlagen im vorliegenden Fall nicht ausreichend gewahrt worden ist. Das BFM wäre unter dem Gesichtspunkt der Begründungspflicht gehalten gewesen, dem Beschwerdeführer diese Erkenntnisse mit angemessener Transparenz offenzulegen. Die knappe Wiedergabe lediglich der wichtigsten Schlussfolgerungen in der angefochtenen Verfügung wird dem Informationsanspruch des Beschwerdeführers nicht gerecht. Eine Auseinandersetzung mit dem weitergehenden Antrag des Beschwer-deführers, es sei auch in allfällige weitere vom BFM verwendete Länderinformationen vollständige Einsicht zu gewähren, erübrigt sich, weil dieser mit Instruktionsverfügung vom 4. April 2012 abgewiesen wurde.</w:t>
      </w:r>
    </w:p>
    <w:p>
      <w:r>
        <w:rPr>
          <w:b/>
        </w:rPr>
        <w:t>E. 4.4.2</w:t>
      </w:r>
    </w:p>
    <w:p>
      <w:r>
        <w:t>Aus dem Gesagten ergibt sich zusammenfassend, dass die Vorinstanz dem Beschwerdeführer zu Unrecht keine Einsicht in das Ergebnis der Dienstreise nach Sri Lanka vom (...) gewährt und dadurch seinen Anspruch auf rechtliches Gehör verletzt hat. Folglich wäre sein Antrag, das BFM sei nach Aufhebung der Dispositivziffern 3, 4 und 5 (recte: 4 und 5) der Verfügung vom 26. September 2011 anzuweisen, sämtliche Herkunftsländerinformationen, auf welche es seinen Entscheid stütze, mittels Quellenangaben offenzulegen, diesbezüglich gutzuheissen. Angesichts der Tatsache, dass der Instruktionsrichter dem Beschwerdeführer mit Verfügung vom 4. April 2012 mitteilte, der Bericht "Sri Lanka, Erkenntnisse der Dienstreise (...)" vom (...) und die diesbezügliche Stellungnahme des Rechtsvertreters vom 21. Februar 2012 im Verfahren E-3408/2011 würden zu den Akten genommen, und ihm zusätzlich die Gelegenheit einräumte, innert Frist eine Ergänzung und eine Stellungnahme zur Praxisänderung des Gerichts zu den Akten zu reichen, wovon dieser am 20. April 2012 Gebrauch machte, ist dieser Antrag jedoch hinfällig geworden. Festzustellen ist zudem, dass die Verletzung des rechtlichen Gehörs nicht schwerwiegender Natur ist, dem Gericht bezüglich des Wegweisungsvollzugs volle Kognition zukommt, der rechtserhebliche Sachverhalt erstellt und die notwendige Entscheidungsreife gegeben ist, weshalb der gerügte Verfahrensmangel als geheilt zu betrachten ist. Hinsichtlich der anderen, von der Vorinstanz verwendeten Herkunftsländerinformationen wurde die Akteneinsicht zu Recht verweigert.</w:t>
      </w:r>
    </w:p>
    <w:p>
      <w:r>
        <w:rPr>
          <w:b/>
        </w:rPr>
        <w:t>E. 4.5</w:t>
      </w:r>
    </w:p>
    <w:p>
      <w:r>
        <w:t>Hinsichtlich der Rüge, die Begründungspflicht und der Anspruch des Beschwerdeführers auf rechtliches Gehör seien verletzt, weil das BFM ohne Begründung von der langjährigen Praxis des Bundesverwaltungsgerichts abgewichen sei, ist Folgendes festzuhalten: Das Bundesamt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als eine Rückkehr auch in den Norden und Osten Sri Lankas grundsätzlich wieder zumutbar sei, während im ehemals von den LTTE kontrollierten Vanni-Gebiet die Lebensbedingungen nach wie vor als sehr schwierig einzustufen seien. Die Vorinstanz muss sich zwar auch hinsichtlich der Frage der generellen Zumutbarkeit des Vollzugs der Wegweisung in Herkunftsländer abgewiesener Asylsuchender an die Praxis des Bundesverwaltungsgerichts halten, es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BVGE 2011/24 zur aktuellen Situation in Sri Lanka geäussert und eine Anpassung seiner in BVGE 2008/2 publizierten Praxis vorgenommen, welche mit derjenigen des BFM im Ergebnis weitgehend übereinstimmt (vgl. E. 5.3.2 nachstehend). In Anbetracht der insgesamt ausgewogenen und differenzierten Erwägungen ist ohnehin nicht ersichtlich, inwiefern die Vorinstanz seine Begründungspflicht verletzt haben könnte.</w:t>
      </w:r>
    </w:p>
    <w:p>
      <w:r>
        <w:rPr>
          <w:b/>
        </w:rPr>
        <w:t>E. 4.6</w:t>
      </w:r>
    </w:p>
    <w:p>
      <w:r>
        <w:t>Bei dieser Sachlage besteht somit keine Veranlassung, die angefochtene Verfügung aus formellen Gründen aufzuheben, weshalb das Begehren des Beschwerdeführers, der Entscheid vom 26. September 2011 sei in den Dispositivpunkten 3, 4 und 5 (recte: 4 und 5) aufzuheben und zur Neubeurteilung der Sache an das BFM zurückzuweisen mit der Anweisung, sämtliche Herkunftsländerinformationen, auf welche sich die angefochtene Verfügung stütze, mittels Quellenangaben offenzulegen, abzuweisen ist. Der festgestellte Verfahrensmangel wird indessen im Kosten- und Entschädigungspunkt zu berücksichtigen sein (vgl. E. 7 nachstehend).</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5.2.2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Aufgrund der vorstehenden Erwägungen erübrigt sich eine Auseinandersetzung mit den diesbezüglichen Entgegnungen in der Beschwerde und in der Stellungnahme vom 20. April 2012, weil diese nicht geeignet sind, eine andere Beurteilung herbeizuführen.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Im bereits erwähnten Grundsatzurteil BVGE 2011/24 hat das Gericht eine aktuelle Analyse der allgemeinen, heute herrschenden Sicher-heits- und politischen Lage in Sri Lanka vorgenommen und die in BVGE 2008/2 publizierte Wegweisungsvollzugspraxis teilweise geändert. Danach hat sich seit dem Ende des bewaffneten Konflikts zwischen der sri-lankischen Armee und den LTTE im Mai 2009 die allgemeine Lage in Sri Lanka erheblich verbessert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auf eine gleichwertige Lebens- und Wohnsituation zurückgreifen kann, die im Zeitpunkt der Ausreise geherrscht hat und dem Wegweisungsvollzug nichts im Wege steht. Liegt der letzte Aufenthalt der betreffenden Person in der Nordprovinz indessen längere Zeit zurück (vor Beendigung des Bürgerkrieges im Mai 2009) oder ergeben sich aus den Akten konkrete Hinweise auf eine massgebliche Veränderung der Lebensumstände seit der Ausreise,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sowie der Wohnsituation als massgebliche Faktoren. Falls solche begünstigende Faktoren in der Nordprovinz nicht vorliegen, ist eine zumutbare Aufenthaltsalternative im übrigen Staatsgebiet, namentlich im Grossraum Colombo, zu prüfen (vgl. a.a.O. E. 13.2.1).</w:t>
      </w:r>
    </w:p>
    <w:p>
      <w:r>
        <w:rPr>
          <w:b/>
        </w:rPr>
        <w:t>E. 5.3.3</w:t>
      </w:r>
    </w:p>
    <w:p>
      <w:r>
        <w:t>Der junge und - soweit aktenkundig - gesunde Beschwerdeführer stammt aus dem Distrikt Jaffna, wo er bis kurz vor seiner Ausreise aus Sri Lanka bei (...) und später bei (...) wohnte (vgl. Akten BFM A7/33 S. 2). Anhaltspunkte dafür, seine Verwandten könnten sich heute nicht mehr im Distrikt Jaffna aufhalten, ergeben sich aus den Akten keine. Er verfügt somit über ein verwandtschaftliches Beziehungsnetz und ausserdem über Berufserfahrung als (...) und (...) in (...) (vgl. A7/33 S. 3), welche Umstände es ihm ermöglichen sollten, eine neue Existenzgrundlage aufzubauen. Vor diesem Hintergrund ist festzustellen, dass er die in BVGE 2011/24 statuierten Kriterien für eine Bejahung der Zumutbarkeit des Wegweisungsvollzugs erfüllt. Blosse soziale und wirtschaftliche Schwierigkeiten, von denen die ansässige Bevölkerung im Allgemeinen betroffen ist, genügen nicht, um eine konkrete Gefährdung im Sinne von Art. 83 Abs. 4 AuG darzustellen (vgl. BVGE 2008/34 E. 11.2.2). Entgegen den Vorbringen in der Rechtsmittelschrift und in der Stellungnahme vom 20. April 2012 ist somit nicht davon auszugehen, dass er bei einer Rückkehr in seinen Heimatstaat in eine existenzielle Notlage geraten wird. Der Vollzug der Wegweisung erweist sich damit sowohl in genereller als auch in individueller Hinsicht als zumutbar.</w:t>
      </w:r>
    </w:p>
    <w:p>
      <w:r>
        <w:rPr>
          <w:b/>
        </w:rPr>
        <w:t>E. 5.4</w:t>
      </w:r>
    </w:p>
    <w:p>
      <w:r>
        <w:t>Schliesslich obliegt es dem Beschwerdeführer, sich bei der zuständi­gen Vertretung des Heimatstaates die für eine Rückkehr allenfalls zusätzlich benötigten Reisedokumente zu beschaffen (vgl. Art. 8 Abs. 4 AsylG),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7.1</w:t>
      </w:r>
    </w:p>
    <w:p>
      <w:r>
        <w:t>Die Kosten des Verfahrens sind grundsätzlich dem unterliegenden Beschwerdeführer aufzuerlegen (Art. 63 Abs. 1 und 5 VwVG). Indessen wurde in der Beschwerde zu Recht ein Verfahrensmangel gerügt, der durch die Rechtsmittelinstanz geheilt werden musste.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Diese sind mit dem am 9. November 2011 geleisteten Kostenvorschuss von Fr. 600.- zu verrechnen. Der Restbetrag von Fr. 200.- ist zurückzuerstatten.</w:t>
      </w:r>
    </w:p>
    <w:p>
      <w:r>
        <w:rPr>
          <w:b/>
        </w:rPr>
        <w:t>E. 7.2</w:t>
      </w:r>
    </w:p>
    <w:p>
      <w:r>
        <w:t>Angesichts des soeben Gesagten ist dem Beschwerdeführer schliesslich trotz des Umstandes, dass er im Beschwerdeverfahren mit seinen Rechtsbegehren nicht durchgedrungen ist, eine angemessene Parteientschädigung für die ihm aus der Beschwerdeführung erwachsenen notwendigen Kosten zuzusprechen.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unter Berücksichtigung der massgeblichen Bemessungsfaktoren (vgl. Art. 8 ff. VGKE) und der Entschädigungspraxis in Vergleichsfällen ist das BFM anzuweisen, dem Beschwerdeführer eine Parteientschädigung in der Höhe von pauschal Fr. 400.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