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E-5919/2014 vom 23. Oktober 2014</w:t>
      </w:r>
    </w:p>
    <w:p>
      <w:r>
        <w:t>Bundesverwaltungsgericht, 2014-10-23, DE</w:t>
      </w:r>
    </w:p>
    <w:p>
      <w:r>
        <w:rPr>
          <w:b/>
        </w:rPr>
        <w:t xml:space="preserve">Quelle: </w:t>
      </w:r>
      <w:r>
        <w:t>https://mcp.opencaselaw.ch/entscheid/bvger_E-5919_2014</w:t>
      </w:r>
    </w:p>
    <w:p>
      <w:r>
        <w:t>FR: TAF E-5919/2014 du 23 octobre 2014</w:t>
      </w:r>
    </w:p>
    <w:p>
      <w:r>
        <w:t>IT: TAF E-5919/2014 del 23 ottobre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bzw. Änderung. Sie ist daher zur Einreichung der Beschwerde legitimiert (Art. 105 und Art. 108 Abs. 2 AsylG; Art. 48 Abs. 1 sowie Art. 52 VwVG). Auf die Beschwerde ist - unter Vorbehalt nachfolgender Erwägungen - einzutreten.</w:t>
      </w:r>
    </w:p>
    <w:p>
      <w:r>
        <w:rPr>
          <w:b/>
        </w:rPr>
        <w:t>E. 1.3</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1.4</w:t>
      </w:r>
    </w:p>
    <w:p>
      <w:r>
        <w:t>Die vorliegende Beschwerde ist, wie nachfolgend aufgezeigt, offensichtlich unbegründet, weshalb der Beschwerdeentscheid nur summarisch zu begründen ist (Art. 111a Abs. 1 AsylG). Gestützt auf Art. 111a Abs. 1 AsylG wurde vorliegend zudem auf einen Schriftenwechsel verzichtet.</w:t>
      </w:r>
    </w:p>
    <w:p>
      <w:r>
        <w:rPr>
          <w:b/>
        </w:rPr>
        <w:t>E. 1.5</w:t>
      </w:r>
    </w:p>
    <w:p>
      <w:r>
        <w:t>Die Kognition des Bundesverwaltungsgerichts im Asylbereich und die zulässigen Rügen richten sich nach Art. 106 Abs. 1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Der nach dieser Verordnung zuständige Mitgliedstaat ist verpflichtet, einen Antragsteller, der in einem anderen Mitgliedstaat einen Antrag gestellt hat, nach Massgabe der Art. 21, Art. 22 und Art. 29 Dublin-III-VO aufzunehmen (Art. 18 Abs. 1 Bst. a Dublin-III-VO, sog. take charge-Verfahren).</w:t>
      </w:r>
    </w:p>
    <w:p>
      <w:r>
        <w:rPr>
          <w:b/>
        </w:rPr>
        <w:t>E. 2.3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vgl.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2.4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Den vorliegenden Akten ist zu entnehmen, dass die Beschwerdeführerin aus H._______ kommend illegal nach Italien eingereist ist. Dort habe sie sich einerseits bei den Behörden nicht gemeldet und sei folglich auch nicht registriert worden (B7 S. 6 f. und 9). Anderseits sei sie in Italien von Polizisten angehalten worden, wobei sie den Namen A._______ angegeben habe (B7 S. 3). Nach ihrer ersten Einreise in die Schweiz wurde sie nach einer Festhaltung durch die Urner Kantonspolizei nach Italien weggewiesen und habe zweimal in einem Park in I._______ übernachtet bevor sie wieder in die Schweiz eingereist sei und hier am 18. Juni 2014 ein Asylgesuch einreichte (B7 S. 7 f.). Das Bundesverwaltungsgericht geht im Folgenden davon aus, dass die Beschwerdeführerin in Italien weder bei ihrem ersten noch bei ihrem allfälligen zweiten Aufenthalt von den italienischen Behörden festgehalten wurde. Bei der angeblichen Festnahme durch die italienische Polizei dürfte es sich vielmehr um die Festhaltung durch die Urner Kantonspolizei am 13. Juni 2014 handeln (B1). Im Folgenden werden die Zuständigkeitskriterien geprüft (Art. 8-15 Dublin-III-VO).</w:t>
      </w:r>
    </w:p>
    <w:p>
      <w:r>
        <w:rPr>
          <w:b/>
        </w:rPr>
        <w:t>E. 3.1.1</w:t>
      </w:r>
    </w:p>
    <w:p>
      <w:r>
        <w:t>Die Beschwerdeführerin A._______ (geboren im Jahr [...]) - bzw. B._______ (geboren am [...]) - ist eine volljährige junge Frau, welche über eine Schwester in der Schweiz verfügt. Diese wurde gemäss Art. 51 Abs. 1 AsylG am 11. Februar 2010 als Flüchtling anerkannt. Die Anwendung von Art. 9 Dublin-III-VO (Familienangehörige, die Begünstigte internationalen Schutzes sind) ist bei dieser Konstellation zu verneinen, da die Schwester der Beschwerdeführerin, welche in der Schweiz zwar aufenthaltsberechtigt ist, nicht als "Familienangehörige" gemäss Art. 2 Bst. g Dublin-III-VO gelten kann. Weiter hat die Beschwerdeführerin nicht geltend gemacht, sie sei von ihrer Schwester im Sinne von Art. 16 Dublin-III-VO abhängig.</w:t>
      </w:r>
    </w:p>
    <w:p>
      <w:r>
        <w:rPr>
          <w:b/>
        </w:rPr>
        <w:t>E. 3.1.2</w:t>
      </w:r>
    </w:p>
    <w:p>
      <w:r>
        <w:t>Das BFM ersuchte aufgrund der illegalen Einreise der Beschwerdeführerin nach Italien (Art. 13 Abs. 1 Dublin-III-VO) die dortigen Behörden am 25. Juli 2014 um Aufnahme der Beschwerdeführerin, welche das Übernahmeersuchen innert der in Art. 22 Abs. 1 Dublin-III-VO vorgesehenen Frist unbeantwortet liessen, womit sie die Zuständigkeit Italiens implizit anerkannten (Art. 22 Abs. 7 Dublin-III-VO).</w:t>
      </w:r>
    </w:p>
    <w:p>
      <w:r>
        <w:rPr>
          <w:b/>
        </w:rPr>
        <w:t>E. 3.1.3</w:t>
      </w:r>
    </w:p>
    <w:p>
      <w:r>
        <w:t>Die grundsätzliche Zuständigkeit Italiens ist somit gegeben, was von der Beschwerdeführerin auch nicht bestritten wurde.</w:t>
      </w:r>
    </w:p>
    <w:p>
      <w:r>
        <w:rPr>
          <w:b/>
        </w:rPr>
        <w:t>E. 3.2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w:t>
      </w:r>
    </w:p>
    <w:p>
      <w:r>
        <w:rPr>
          <w:b/>
        </w:rPr>
        <w:t>E. 3.2.1</w:t>
      </w:r>
    </w:p>
    <w:p>
      <w:r>
        <w:t>Italien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3.2.2</w:t>
      </w:r>
    </w:p>
    <w:p>
      <w:r>
        <w:t>Unter diesen Umständen ist die Anwendung von Art. 3 Abs. 2 Dublin-III-VO nicht gerechtfertigt.</w:t>
      </w:r>
    </w:p>
    <w:p>
      <w:r>
        <w:rPr>
          <w:b/>
        </w:rPr>
        <w:t>E. 3.3</w:t>
      </w:r>
    </w:p>
    <w:p>
      <w:r>
        <w:t>Die Beschwerdeführerin fordert mit ihrem Vorbringen implizit die Anwendung der Ermessensklausel von Art. 17 Abs. 1 Dublin-III-VO, was zum Selbsteintritt der Schweiz und zur Beurteilung des Antrags auf internationalen Schutz durch dieses Land führen würde.</w:t>
      </w:r>
    </w:p>
    <w:p>
      <w:r>
        <w:rPr>
          <w:b/>
        </w:rPr>
        <w:t>E. 3.3.1</w:t>
      </w:r>
    </w:p>
    <w:p>
      <w:r>
        <w:t>Die Beschwerdeführerin hat weder an der Befragung vom 4. Juli 2014 noch in ihrer Rechtsmitteleingabe 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(Art. 26 Aufnahmerichtlinie).</w:t>
      </w:r>
    </w:p>
    <w:p>
      <w:r>
        <w:rPr>
          <w:b/>
        </w:rPr>
        <w:t>E. 3.3.2</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der auch unter der Dublin-III-VO Geltung entfaltet).</w:t>
      </w:r>
    </w:p>
    <w:p>
      <w:r>
        <w:rPr>
          <w:b/>
        </w:rPr>
        <w:t>E. 3.4</w:t>
      </w:r>
    </w:p>
    <w:p>
      <w:r>
        <w:t>Somit bleibt Italien der für die Behandlung des Asylgesuchs der Beschwerdeführerin zuständige Mitgliedstaat gemäss Dublin-III-VO. Dieses Land ist verpflichtet, das Asylverfahren gemäss Art. 21, Art. 22 und Art. 29 Dublin-III-VO aufzunehmen.</w:t>
      </w:r>
    </w:p>
    <w:p>
      <w:r>
        <w:rPr>
          <w:b/>
        </w:rPr>
        <w:t>E. 4</w:t>
      </w:r>
    </w:p>
    <w:p>
      <w:r>
        <w:t>Das BFM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der Asylverordnung 1 vom 11. August 1999 [AsylV 1, SR 142.311]).</w:t>
      </w:r>
    </w:p>
    <w:p>
      <w:r>
        <w:rPr>
          <w:b/>
        </w:rPr>
        <w:t>E. 5</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6</w:t>
      </w:r>
    </w:p>
    <w:p>
      <w:r>
        <w:t>Nach dem Gesagten ist die Beschwerde abzuweisen, soweit darauf einzutreten ist, und die Verfügung des BFM zu bestätigen. Das Beschwerdeverfahren ist mit vorliegendem Urteil abgeschlossen, weshalb sich das Gesuch um Verzicht auf die Erhebung eines Kostenvorschusses als gegenstandslos erweisen. Der Antrag, die Vollzugsbehörden seien anzuweisen, die Kontaktaufnahme mit dem Heimat- oder Herkunftsstaat der Beschwerdeführerin sowie jede Weitergabe von Daten an denselben zu unterlassen, ist abzuweisen, zumal weder den Akten entnommen werden kann, dass solches unternommen worden wäre, noch im Rahmen eines Dublinverfahrens Anlass dazu besteht. Das BFM ist hingegen anzuweisen, der Beschwerdeführerin im Rahmen von Art. 26 ff. VwVG eine bereits erfolgte Weitergabe von Personendaten im Sinne von Art. 97 Bst. a-c AsylG an die zuständige ausländische Behörde offenzulegen, sollte entgegen den Akten Derartiges geschehen sein.</w:t>
      </w:r>
    </w:p>
    <w:p>
      <w:r>
        <w:rPr>
          <w:b/>
        </w:rPr>
        <w:t>E. 7</w:t>
      </w:r>
    </w:p>
    <w:p>
      <w:r>
        <w:t>Die Beschwerdeführerin beantragte die Gewährung der unentgeltlichen Rechtspflege gemäss Art. 65 Abs. 1 und 2 VwVG. Die Begehren haben sich aufgrund vorstehender Erwägungen als aussichtslos erwiesen, weshalb das Gesuch um Gewährung der unentgeltlichen Rechtspflege samt Beigabe eines unentgeltlichen Rechtsbeistandes abzuweisen ist. 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