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E-5917/2023 vom 27. September 2023</w:t>
      </w:r>
    </w:p>
    <w:p>
      <w:r>
        <w:t>Bundesverwaltungsgericht, 2023-09-27, DE</w:t>
      </w:r>
    </w:p>
    <w:p>
      <w:r>
        <w:rPr>
          <w:b/>
        </w:rPr>
        <w:t xml:space="preserve">Quelle: </w:t>
      </w:r>
      <w:r>
        <w:t>https://mcp.opencaselaw.ch/entscheid/bvger_E-5917_2023_d20230927</w:t>
      </w:r>
    </w:p>
    <w:p>
      <w:r>
        <w:t>FR: TAF E-5917/2023 du 27 septembre 2023</w:t>
      </w:r>
    </w:p>
    <w:p>
      <w:r>
        <w:t>IT: TAF E-5917/2023 del 27 settembre 2023</w:t>
      </w:r>
    </w:p>
    <w:p>
      <w:pPr>
        <w:pStyle w:val="Heading2"/>
      </w:pPr>
      <w:r>
        <w:t>Regeste</w:t>
      </w:r>
    </w:p>
    <w:p>
      <w:r>
        <w:t>Asyl und Wegweisung (beschleunigtes Verfahren) | Asyl und Wegweisung (beschleunigtes Verfahren); Verfügung des SEM vom 27. September 2023</w:t>
      </w:r>
    </w:p>
    <w:p>
      <w:pPr>
        <w:pStyle w:val="Heading2"/>
      </w:pPr>
      <w:r>
        <w:t>Erwägungen</w:t>
      </w:r>
    </w:p>
    <w:p>
      <w:r>
        <w:rPr>
          <w:b/>
        </w:rPr>
        <w:t>E. 7</w:t>
      </w:r>
    </w:p>
    <w:p>
      <w:r>
        <w:t>August 2023, S. 8 [zur Substitutionstherapie mit Methadon]), dass in der Beschwerde auch keine Argumente angeführt werden, die da- rauf schliessen liessen, dass dem Beschwerdeführer mit der Institution RAMED der Zugang zur medizinischen Grundversorgung nicht zur Verfü- gung stehen würde, dass der Wegweisungsvollzug schliesslich auch als möglich zu erkennen ist (Art. 83 Abs. 2 AuG), da der Beschwerdeführer verpflichtet ist, sich bei der dafür zuständigen Vertretung seines Heimatstaates die für seine Rück- kehr notwendigen Reisedokumente zu beschaffen (Art. 8 Abs. 4 AsylG; BVGE 2008/34 E. 12), dass nach dem Gesagten das SEM zu Recht den Vollzug der Wegweisung angeordnet hat,</w:t>
      </w:r>
    </w:p>
    <w:p>
      <w:r>
        <w:t>E-5917/2023 Seite 9 dass nach vorstehenden Erwägungen die angefochtene Verfügung zu be- stätigen und die eingereichte Beschwerde als offensichtlich unbegründet abzuweisen ist, dass mit vorliegendem Urteil in der Hauptsache das Gesuch um Befreiung von der Kostenvorschusspflicht (gemäss Art. 63 Abs. 4 VwVG) gegen- standslos geworden ist, dass das Gesuch um Gewährung der unentgeltlichen Rechtspflege im Sinne von Art. 65 Abs. 1 VwVG abzuweisen ist, da sich die Beschwerde nach dem Gesagten als von Anfang an aussichtslos erwiesen hat, dass dem Beschwerdeführer demnach die Kosten des Verfahrens, welche praxisgemäss auf Fr. 750.– zu bestimmen sind, aufzuerlegen sind (Art. 63 Abs. 1 VwVG; Art. 1–3 des Reglements vom 21. Februar 2008 über die Kosten und Entschädigungen vor dem Bundesverwaltungsgericht [VGKE, SR 173.320.2]).</w:t>
      </w:r>
    </w:p>
    <w:p>
      <w:r>
        <w:t>(Dispositiv nächste Seite)</w:t>
      </w:r>
    </w:p>
    <w:p>
      <w:r>
        <w:t>E-5917/2023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