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E-590/2009 vom 6. Dezember 2011</w:t>
      </w:r>
    </w:p>
    <w:p>
      <w:r>
        <w:t>Bundesverwaltungsgericht, 2011-12-06, DE</w:t>
      </w:r>
    </w:p>
    <w:p>
      <w:r>
        <w:rPr>
          <w:b/>
        </w:rPr>
        <w:t xml:space="preserve">Quelle: </w:t>
      </w:r>
      <w:r>
        <w:t>https://mcp.opencaselaw.ch/entscheid/bvger_E-590_2009</w:t>
      </w:r>
    </w:p>
    <w:p>
      <w:r>
        <w:t>FR: TAF E-590/2009 du 6 décembre 2011</w:t>
      </w:r>
    </w:p>
    <w:p>
      <w:r>
        <w:t>IT: TAF E-590/2009 del 6 dicembre 2011</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 Beschwerde richtet sich formal gegen die Wegweisung sowie gegen den von der Vorinstanz angeordneten Wegweisungsvollzug. Da die Wegweisung die übliche Folge der Ablehnung eines Asylgesuchs darstellt, ist über diesen Punkt - wie bereits mit Zwischenverfügung vom 6. Februar 2009 festgestellt - praxisgemäss nicht mehr zu befinden (vgl. Entscheidungen und Mitteilungen der Schweizerischen Asylrekurskommission [EMARK] 2001 Nr. 21). Damit ist die Verfügung des Bundesamtes vom 29. Dezember 2008, soweit sie die Fragen der Flüchtlingseigenschaft, des Asyls sowie die Anordnung der Wegweisung als solche betrifft (Ziffern 1 bis 3 des Dispositivs der angefochtenen Verfügung), rechtskräftig geworden. Zu prüfen bleibt somit im Rahmen des vorliegenden vereinigten Verfahrens einzig die Frage des Vorliegens allfälliger Wegweisungsvollzugshindernisse.</w:t>
      </w:r>
    </w:p>
    <w:p>
      <w:r>
        <w:rPr>
          <w:b/>
        </w:rPr>
        <w:t>E. 4.1</w:t>
      </w:r>
    </w:p>
    <w:p>
      <w:r>
        <w:t>Ist der Vollzug der Wegweisung nicht möglich, nicht zulässig oder nicht zumutbar, regelt das Bundesamt das Anwesenheitsverhältnis nach den gesetzlichen Bestimmungen über die vorläufige Aufnahme von Ausländern (Art. 44 Abs. 2 AsylG, Art. 83 Abs. 1 AuG). Der Vollzug ist nicht möglich, wenn der Ausländer oder die Ausländerin weder in den Herkunfts- oder in den Heimatstaat noch in einen Drittstaat verbracht werden kann (Art. 83 Abs. 2 AuG). Er ist nicht zulässig, wenn völkerrechtliche Verpflichtungen der Schweiz einer Weiterreise in den Heimat-, Herkunfts- oder einen Drittstaat entgegenstehen (Art. 83 Abs. 3 AuG). Der Vollzug kann insbesondere nicht zumutbar sein, wenn er für die ausländische Person eine konkrete Gefährdung darstellt (Art. 83 Abs. 4 AuG).</w:t>
      </w:r>
    </w:p>
    <w:p>
      <w:r>
        <w:rPr>
          <w:b/>
        </w:rPr>
        <w:t>E. 4.2</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5.1</w:t>
      </w:r>
    </w:p>
    <w:p>
      <w:r>
        <w:t>Der Vollzug ist nicht zulässig, wenn völkerrechtliche Verpflichtungen der Schweiz einer Weiterreise der Ausländerin oder des Ausländers in den Heimat-, Herkunfts- oder einen Drittstaat entgegenstehen (Art. 83 Abs. 3 AuG).</w:t>
      </w:r>
    </w:p>
    <w:p>
      <w:r>
        <w:rPr>
          <w:b/>
        </w:rPr>
        <w:t>E. 5.1.1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5.1.2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5.2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5.2.1</w:t>
      </w:r>
    </w:p>
    <w:p>
      <w:r>
        <w:t>Das BFM hielt in der angefochtenen Verfügung fest, der Bundesrat habe Bosnien und Herzegowina mit Beschluss vom 25. Juni 2003 als verfolgungssicheren Staat bezeichnet, und weder die allgemeine politische Situation noch andere Gründe würden gegen die Zumutbarkeit der Rückführung der Beschwerdeführenden in den Heimatstaat sprechen. Die Vorinstanz wies darauf hin, dass die Beschwerdeführenden nach ihrer Rückkehr aus I._______ (...) Jahre lang in Bosnien und Herzegowina gelebt hätten, wo sie nach wie vor über ein soziales Beziehungsnetz verfügen würden, zumal ein Teil ihrer Familie dort lebe. Zudem würden die Beschwerdeführenden über Berufserfahrung als Händler verfügen; dieser Tätigkeit seien sie denn auch bis zu ihrer Ausreise nachgegangen. Insgesamt seien auch weiterhin Möglichkeiten zur Existenzsicherung vorhanden.</w:t>
      </w:r>
    </w:p>
    <w:p>
      <w:r>
        <w:rPr>
          <w:b/>
        </w:rPr>
        <w:t>E. 5.2.2</w:t>
      </w:r>
    </w:p>
    <w:p>
      <w:r>
        <w:t>Die Beschwerdeführenden berufen sich in ihrer Beschwerde vom 28. Januar 2009 im Wesentlichen auf Art. 83 Abs. 4 AuG und machen mit Verweis auf entsprechende Lageanalysen und Länderberichte geltend, die ökonomische, soziale und kulturelle Situation der Roma in Bosnien und Herzegowina sei als prekär zu beurteilen. Zudem könne zum heutigen Zeitpunkt der gesundheitliche Zustand der Beschwerdeführerin nicht definitiv abgeschätzt werden (vgl. Beschwerde S. 3 ff.). Die siebenköpfige Familie wäre bei einer Rückkehr in ihren Heimatstaat mangels einer existenzsichernden Perspektive einer konkreten Gefährdung ausgesetzt, weshalb der Wegweisungsvollzug unzumutbar sei. In Bosnien und Herzegowina könnten die ökonomischen und sozialen Bedürfnisse der minderjährigen Kinder nicht gedeckt werden, weil auch die Beschwerdeführenden nach einer Rückkehr mit Sicherheit ein Leben in absoluter Armut fristen müssten.</w:t>
      </w:r>
    </w:p>
    <w:p>
      <w:r>
        <w:rPr>
          <w:b/>
        </w:rPr>
        <w:t>E. 5.2.3</w:t>
      </w:r>
    </w:p>
    <w:p>
      <w:r>
        <w:t>In Bosnien und Herzegowina herrscht seit längerer Zeit keine Situation allgemeiner Gewalt mehr; der Staat wurde vor mehr als acht Jahren in die Liste der so genannten Safe Countries gemäss Art. 6 Abs. 2 Bst. a AsylG aufgenommen. Die allgemeinen Lebensbedingungen der Roma sind in Bosnien und Herzegowina (wie in vielen Staaten insbesondere Ost- und Südosteuropas) unbestrittenermassen schwierig. Die Diskriminierungen, denen Roma im bosnisch-herzegowinischen Lebensalltag ausgesetzt sind - und auch die häufig belastete ökonomische Situation - erreichen nach konstanter Praxis des Bundesverwaltungsgerichts jedoch nicht eine Intensität, die eine Rückkehr abgewiesener Asylsuchender dieser Ethnie als generell unzumutbar erscheinen lassen würde (vgl. statt vieler die Urteile D-5514/2011 vom 25. November 2011 S. 9, D-5686/2011 vom 14. November 2011 S. 8 f., E-4721/2007 vom 7. Juni 2011 E. 5, D 3280/2010 vom 23. Mai 2011 S. 9 f., D-2520/2010 vom 21. April 2010 S. 11, D-5675/2010 vom 25. August 2010 S. 7 f., D-7013/2009 vom 16. November 2009 S. 8 ff.; die meisten der zitierten Entscheide betreffen Familien mit mehreren Kindern).</w:t>
      </w:r>
    </w:p>
    <w:p>
      <w:r>
        <w:rPr>
          <w:b/>
        </w:rPr>
        <w:t>E. 5.2.4</w:t>
      </w:r>
    </w:p>
    <w:p>
      <w:r>
        <w:t>Die Beschwerdeführenden bringen auch keine massgebenden individuellen Hindernisse gegen den Wegweisungsvollzug vor. Sie haben nach ihrer (...) erfolgten Rückkehr aus I._______ bis zu ihrer erneuten Ausreise 2008 (...) Jahre lang in ihrem Heimatstaat verbracht, was darauf schliessen lässt, dass sie dort trotz schwieriger Lebensbedingungen über eine Existenzmöglichkeit verfügen. Im Heimatstaat sind sie auch nicht völlig auf sich allein gestellt, besteht doch dort zumindest ein gewisses familiäres Beziehungsnetz (Eltern und eine Schwester des Beschwerdeführers, vgl. Beschwerde S. 4). Zur medizinischen Untersuchung der Beschwerdeführerin wegen gering­gradiger Hämoptysis (Bluthusten), die im Kurzaustrittsbericht des Spitals J._______ vom 26. Dezember 2008 geschildert wird, wird in der Beschwerde ausgeführt, es werde sich erweisen, ob eine weiterführende Behandlung nötig sein werde, und es würden genauere medizinische Erkenntnisse nachgereicht. Bis heute haben die (durch einen spezialisierten Rechtsvertreter) verbeiständeten Beschwerdeführenden keine weiteren Unterlagen nachgereicht, weshalb davon ausgegangen werden darf, dass auch in medizinischer Hinsicht keine relevanten Vollzugshindernisse vorliegen. Insgesamt ist nach dem Gesagten davon auszugehen, dass sich die Beschwerdeführenden in Bosnien und Herzegowina wieder eine Existenz werden aufbauen können.</w:t>
      </w:r>
    </w:p>
    <w:p>
      <w:r>
        <w:rPr>
          <w:b/>
        </w:rPr>
        <w:t>E. 5.2.5</w:t>
      </w:r>
    </w:p>
    <w:p>
      <w:r>
        <w:t>Der Vollzug der Wegweisung erweist sich damit im heutigen Zeitpunkt als zumutbar.</w:t>
      </w:r>
    </w:p>
    <w:p>
      <w:r>
        <w:rPr>
          <w:b/>
        </w:rPr>
        <w:t>E. 5.3</w:t>
      </w:r>
    </w:p>
    <w:p>
      <w:r>
        <w:t>Schliesslich obliegt es den Beschwerdeführenden, sich bei der zuständigen Vertretung des Heimatstaates die für eine Rückkehr notwendigen Reisedokumente zu beschaffen (vgl. Art. 8 Abs. 4 AsylG und dazu BVGE 2008/34 E. 12 S. 513 ff.), weshalb der Vollzug der Wegweisung auch als möglich zu bezeichnen ist (Art. 83 Abs. 2 AuG).</w:t>
      </w:r>
    </w:p>
    <w:p>
      <w:r>
        <w:rPr>
          <w:b/>
        </w:rPr>
        <w:t>E. 5.4</w:t>
      </w:r>
    </w:p>
    <w:p>
      <w:r>
        <w:t>Zusammenfassend hat die Vorinstanz den Wegweisungsvollzug zu Recht als zulässig, zumutbar und möglich bezeichnet. Die Anordnung einer vorläufigen Aufnahme fällt damit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Dem in der Beschwerde gestellten Gesuch um Gewährung der un­entgeltlichen Rechtspflege gemäss Art. 65 Abs. 1 VwVG kann entspro­chen werden, nachdem die prozessuale Bedürftigkeit der Beschwerde­führenden belegt war, nach wie vor als gegeben erscheint und ihre Be­schwerdebegehren im Zeitpunkt der Einreichung des Rechtsmittels nicht als aussichtslos zu bezeichnen waren. Somit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