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E-5909/2016 vom 5. Dezember 2016</w:t>
      </w:r>
    </w:p>
    <w:p>
      <w:r>
        <w:t>Bundesverwaltungsgericht, 2016-12-05, FR</w:t>
      </w:r>
    </w:p>
    <w:p>
      <w:r>
        <w:rPr>
          <w:b/>
        </w:rPr>
        <w:t xml:space="preserve">Quelle: </w:t>
      </w:r>
      <w:r>
        <w:t>https://mcp.opencaselaw.ch/entscheid/bvger_E-5909_2016</w:t>
      </w:r>
    </w:p>
    <w:p>
      <w:r>
        <w:t>FR: TAF E-5909/2016 du 5 décembre 2016</w:t>
      </w:r>
    </w:p>
    <w:p>
      <w:r>
        <w:t>IT: TAF E-5909/2016 del 5 dicembre 2016</w:t>
      </w:r>
    </w:p>
    <w:p>
      <w:pPr>
        <w:pStyle w:val="Heading2"/>
      </w:pPr>
      <w:r>
        <w:t>Regeste</w:t>
      </w:r>
    </w:p>
    <w:p>
      <w:r>
        <w:t>Asile (sans exécution du renvoi)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rejeté, dans la mesure où il est recevable.</w:t>
      </w:r>
    </w:p>
    <w:p>
      <w:r>
        <w:rPr>
          <w:b/>
        </w:rPr>
        <w:t>E. 2</w:t>
      </w:r>
    </w:p>
    <w:p>
      <w:r>
        <w:t>Les frais de procédure, d'un montant de 600 francs, sont mis à la charge de la recourante. Ce montant est entièrement couvert par l'avance de frais de 600 francs, versée le 14 novembre 2016.</w:t>
      </w:r>
    </w:p>
    <w:p>
      <w:r>
        <w:rPr>
          <w:b/>
        </w:rPr>
        <w:t>E. 3</w:t>
      </w:r>
    </w:p>
    <w:p>
      <w:r>
        <w:t>Le présent arrêt est adressé au mandataire de la recourante, au SEM et à l'autorité cantonale compétente. Le juge unique : La greffière : Jean-Pierre Monnet Anne-Laure Sautaux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