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E-5907/2010 vom 23. Februar 2012</w:t>
      </w:r>
    </w:p>
    <w:p>
      <w:r>
        <w:t>Bundesverwaltungsgericht, 2012-02-23, DE</w:t>
      </w:r>
    </w:p>
    <w:p>
      <w:r>
        <w:rPr>
          <w:b/>
        </w:rPr>
        <w:t xml:space="preserve">Quelle: </w:t>
      </w:r>
      <w:r>
        <w:t>https://mcp.opencaselaw.ch/entscheid/bvger_E-5907_2010</w:t>
      </w:r>
    </w:p>
    <w:p>
      <w:r>
        <w:t>FR: TAF E-5907/2010 du 23 février 2012</w:t>
      </w:r>
    </w:p>
    <w:p>
      <w:r>
        <w:t>IT: TAF E-5907/2010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Nachdem die Beschwerdeführenden im Schreiben vom 26. Januar 2012 zwar die Mandatierung einer Rechtsvertreterin anzeigten, jedoch keine Vollmacht beibrachten, werden sie vorliegend als nicht vertreten betrachtet und das Urteil wird ihnen eröffnet.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(vgl. W. Stöckli, §11 Asyl, in: Ueber­sax/Rudin/Hug Yar/Geiser [Hrsg.], Ausländerrecht, 2. Auflage, Basel 2009, S. 521 - 588, S. 525 ff.). Gemäss Schutztheorie (vgl. Entscheidungen und Mitteilungen der Schweizerischen Asylrekurskom­mission [EMARK] 2006 Nr. 18 S. 180)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 Die Anerkennung der Flüchtlingseigenschaft setzt ferner voraus, dass die betroffene Person einer landesweiten Verfolgung ausgesetzt ist und nicht in einem anderen Teil ihres Heimatstaates um effektiven Schutz nachsuchen kann (vgl. EMARK 2006 Nr. 18 E. 10.3.1 f. S. 203 mit weiteren Hinweisen).</w:t>
      </w:r>
    </w:p>
    <w:p>
      <w:r>
        <w:rPr>
          <w:b/>
        </w:rPr>
        <w:t>E. 5.1</w:t>
      </w:r>
    </w:p>
    <w:p>
      <w:r>
        <w:t>Die Vorinstanz hält zur Begründung ihres ablehnenden Asylentscheides im Wesentlichen fest, dass sich im Zuge des demokratischen Wandels die Situation der ethnischen Minderheiten in Serbien entspannt habe. Am 25. Februar 2002 sei das Bundesgesetz zum Schutz und zur Freiheit der nationalen Minoritäten in Kraft getreten. Es handle sich hierbei um einen gesetzlichen Rahmen, der die Rechte der nationalen Minderheiten und der Angehörigen schütze. Vereinzelte Übergriffe durch Drittpersonen auf Roma könnten zwar nicht restlos ausgeschlossen werden, hingegen komme solchen Verfolgungsmassnahmen in der Regel keine asylrelevante Intensität zu. Ausserdem billige oder unterstütze der Staat solche Übergriffe nicht. Die von den Beschwerdeführenden dargelegten Vorfälle würden auch in Serbien Straftatbestände darstellen, die verfolgt würden. Es sei daher nicht nachvollziehbar, weshalb die Beschwerdeführenden die diversen strafrechtlich relevanten Übergriffe - insbesondere die fluchtauslösenden Behelligungen durch die Mafiosi und die Entführung ihrer Kinder - nicht zur Anzeige gebracht hätten, obschon ihnen die Inanspruchnahme des staatlichen Schutzsystems objektiv zugänglich und individuell zumutbar gewesen wäre. Die Begründung für den Verzicht auf eine Anzeige, wonach sie sich vor den Mafiosi gefürchtet hätten und die Polizei ohnehin nicht geholfen hätte, überzeuge nicht. Weil grundsätzlich vom Vorhandensein eines adäquaten Schutzes durch den Heimatstaat auszugehen sei, seien die Übergriffe im vorliegenden Fall nicht asylrelevant. Die Vorbringen der Beschwerdeführenden würden den Anforderungen an die Flüchtlingseigenschaft von Art. 3 AsylG nicht standhalten, weshalb die Asylgesuche abzulehnen seien.</w:t>
      </w:r>
    </w:p>
    <w:p>
      <w:r>
        <w:rPr>
          <w:b/>
        </w:rPr>
        <w:t>E. 5.2</w:t>
      </w:r>
    </w:p>
    <w:p>
      <w:r>
        <w:t>In ihrer Rechtsmitteleingabe wiederholen die Beschwerdeführenden ihre bereits bei der Vorinstanz gemachten Vorbringen und weisen erneut auf die schwierige Situation der Roma in Serbien hin. Weiter rügen sie eine unvollständige Sachverhaltsfeststellung des BFM (Narben Beschwerdeführer 1 und Vorfall Beschwerdeführerin 2 mit Nachbarin). Weiter habe es nicht berücksichtigt, dass die Beschwerdeführenden die Entführung der Kinder nicht der Polizei hätten melden können, da die Entführer mit deren Tötung gedroht hätten, für den Fall einer Anzeige. Diese Gefahr habe sie davon abgehalten sich an die Behörden zu wenden. Überdies sei aufgrund der psychischen Probleme bei den einzelnen Familienmitgliedern und der erlebten Entführung eine Wegweisung aus der Schweiz unzulässig und unzumutbar.</w:t>
      </w:r>
    </w:p>
    <w:p>
      <w:r>
        <w:rPr>
          <w:b/>
        </w:rPr>
        <w:t>E. 5.3</w:t>
      </w:r>
    </w:p>
    <w:p>
      <w:r>
        <w:t>Die Instruktionsrichterin erwog in der Zwischenverfügung vom 2. September 2010 zur Begründung der Aussichtslosigkeit der Beschwerde, dass die angefochtene Verfügung nach einer summarischen Prüfung der Akten bestätigt und der vorinstanzlichen Einschätzung, die geltend gemachten Übergriffe seien asylrechtlich als nicht relevant zu qualifizieren, gefolgt werden dürfte. In Übereinstimmung mit der Vorinstanz sei von einem adäquaten staatlichen Schutz für die Beschwerdeführenden auszugehen. Betreffend der Rüge der nicht vollständigen Erhebung des Sachverhalts wurde argumentiert, die Vorinstanz habe in ihren Erwägungen den Sachverhalt durchaus vollständig berücksichtigt und sie sei nicht gehalten, sämtliche Vorbringen der Beschwerdeführenden in der angefochtenen Verfügung zu rezitieren. Die geltend gemachten gesundheitlichen Problemen dürften keine ausreichenden Gründe darstellen, die einen Wegweisungsvollzug aus der Schweiz unzulässig oder unzumutbar machen würden, zumal diese lediglich pauschal behauptet würden und in Serbien aufgrund der relativ gut ausgebauten medizinischen Infrastruktur die Behandlung von (...) Problemen möglich sein dürfte.</w:t>
      </w:r>
    </w:p>
    <w:p>
      <w:r>
        <w:rPr>
          <w:b/>
        </w:rPr>
        <w:t>E. 5.4</w:t>
      </w:r>
    </w:p>
    <w:p>
      <w:r>
        <w:t>Das Bundesverwaltungsgericht schliesst sich den ausführlichen Erwägungen der Vorinstanz zur Situation der Minderheit der Roma in Serbien sowie zur grundsätzlichen Schutzfähigkeit und -willigkeit des Staates vollumfänglich an. Die Beschwerdeführenden haben auf den Schutz und die Hilfe der heimatlichen Behörden verzichtet, indem sie die Vorfälle - insbesondere die Entführung der Kinder - nicht bei der Polizei oder einer allenfalls höherrangigen Behörde angezeigt haben. Obschon nachvollziehbar ist, dass sie während der Entführung der Kinder, die Anweisungen der Entführer befolgt haben, hätten die Beschwerdeführenden spätestens nach der Freilassung der Kinder sich an die Polizei wenden können. Die Asylrelevanz der geltend gemachten Übergriffe ist demzufolge zu verneinen. Die zudem vorgebrachten alltäglichen Benachteiligungen und Diskriminierungen sind, selbst unter Berücksichtigung der erschwerten Lebensbedingungen der Roma, mangels Verfolgungsintensität ebenfalls nicht asylrelevant. Aufgrund der Aktenlage erübrigt es sich auf die weiteren Vorbringen der Beschwerdeführenden einzugehen, und es kann zwecks Vermeidung weiterer Wiederholungen auf die einlässlichen Erwägungen der Vorinstanz in ihrer Verfügung vom 20. Juli 2010 und die Ausführungen des Bundesverwaltungsgerichts in der Zwischenverfügung vom 2. September 2010 verwiesen werden.</w:t>
      </w:r>
    </w:p>
    <w:p>
      <w:r>
        <w:rPr>
          <w:b/>
        </w:rPr>
        <w:t>E. 5.5</w:t>
      </w:r>
    </w:p>
    <w:p>
      <w:r>
        <w:t>Zusammenfassend ist festzuhalten, dass die Beschwerdeführenden die Voraussetzungen zur Zuerkennung der Flüchtlingseigenschaft nicht erfüllen und die Vorinstanz die Asylgesuche zu Recht abgelehnt hat. Es erübrigt sich auf die weiteren Vorbringen und Beweismittel näher einzugehen, zumal sie am Ausgang des Verfahrens nichts zu ändern vermögen.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ist gemäss konstanter Praxis nicht von einer Situation allgemeiner Gewalt oder kriegerischen respektive bürgerkriegsähnlichen Verhältnissen zu sprechen. Zur Lage der Roma in Serbien hat sich das Bundesverwaltungsgericht in einem publizierten Urteil vom 18. September 2009 ausführlich geäussert. Es stellte unter anderem fest, aufgrund ihrer ethnischen Zugehörigkeit seien Roma generell unterschiedlichen Schikanen und Diskriminierungen ausgesetzt und ihre Lage in wirtschaftlicher und sozialer Sicht sei allgemein schwierig (vgl. BVGE 2009 Nr. 51 E. 5.7.2.). Auch wenn Übergriffe von Privatpersonen auf Angehörige der Roma und teilweise behördliche Schikanen sowie Diskriminierungen nicht völlig ausgeschlossen werden können, erreichen diese jedoch im Allgemeinen nicht ein Ausmass, welches einen Wegweisungsvollzug als unzumutbar erscheinen lässt (vgl. statt vieler Urteil des Bundesverwaltungsgerichts D-5714/2009 vom 13. November 2009). Im Rahmen der Anhörung und speziell auf Beschwerdeebene haben die Beschwerdeführenden diverse gesundheitliche (vor allem psychische) Probleme geltend gemacht und diese mit verschiedenen medizinischen Berichten und Zeugnissen belegt. Aufgrund der bestehenden Akten ergeben sich jedoch keine Hinweise, wonach diese Probleme derart gravierend wären, dass sie einem Wegweisungsvollzug entgegenstehen würden, zumal Serbien über eine ausreichende medizinische Infrastruktur verfügt, welche die Behandlung zulässt. Weiter war es dem Beschwerdeführer 1 vor der Ausreise möglich, mit dem Handel von Daunenfedern und als Taglöhner den Lebensunterhalt der Familie zu finanzieren. Es ist ihm zumutbar, bei einer Rückkehr diese Tätigkeit wieder aufzunehmen. Die Beschwerdeführenden sind gemäss Akten Eigentümer eines Hauses in F._______, in welcher Stadt auch die Eltern und der Bruder des Beschwerdeführers 1 wohnen (vgl. vorinstanzliche Akten A1 F12, A9 F16). Die Beschwerdeführenden verfügen somit über ein eigenes Zuhause und über ein familiäres Beziehungsnetz an ihrem letzten Wohnsitz in Serbien.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Die Beschwerdeführer 3 und 4 werden bald (...) beziehungsweise (...) Jahre alt. Da sie sich jedoch erst seit gut eineinhalb Jahren in der Schweiz aufhalten, was nicht als längerer Aufenthalt zu beurteilen ist, ist trotz ihres jugendlichen Alters nicht von einer fortgeschrittenen Integration in der Schweiz auszugehen. Auch sonst ergeben sich keine Hinweise, wonach die KRK einem Wegweisungsvollzug entgegenstehen würde. Zusammenfassend erweist sich ein Vollzug der Wegweisung als zumutbar. Es erübrigt sich, auf die diversen beigebrachten Arztberichte näher einzugehen, zumal diese aufgrund der Behandelbarkeit der gesundheitlichen Probleme der Beschwerdeführenden in Serbien nicht zu einem anderen Ausgang des Verfahrens zu führen vermögen.</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Sie sind durch den am 8. September 2010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