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E-5900/2015 vom 16. Juni 2017</w:t>
      </w:r>
    </w:p>
    <w:p>
      <w:r>
        <w:t>Bundesverwaltungsgericht, 2017-06-16, FR</w:t>
      </w:r>
    </w:p>
    <w:p>
      <w:r>
        <w:rPr>
          <w:b/>
        </w:rPr>
        <w:t xml:space="preserve">Quelle: </w:t>
      </w:r>
      <w:r>
        <w:t>https://mcp.opencaselaw.ch/entscheid/bvger_E-5900_2015</w:t>
      </w:r>
    </w:p>
    <w:p>
      <w:r>
        <w:t>FR: TAF E-5900/2015 du 16 juin 2017</w:t>
      </w:r>
    </w:p>
    <w:p>
      <w:r>
        <w:t>IT: TAF E-5900/2015 del 16 giugno 2017</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administratif fédéral (ci-après :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Le recourant a qualité pour recourir (cf. art. 48 al. 1 PA). Interjeté dans la forme (cf. art. 52 al. 1 PA) et le délai (cf. art. 108 al. 2 LAsi) prescrits par la loi, le recours est recevable.</w:t>
      </w:r>
    </w:p>
    <w:p>
      <w:r>
        <w:rPr>
          <w:b/>
        </w:rPr>
        <w:t>E. 1.3</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 et consid. 5.4 [non publié] ; 2014/26 consid. 5.6).</w:t>
      </w:r>
    </w:p>
    <w:p>
      <w:r>
        <w:rPr>
          <w:b/>
        </w:rPr>
        <w:t>E. 1.4</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2.1</w:t>
      </w:r>
    </w:p>
    <w:p>
      <w:r>
        <w:t>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l'espèce, le recourant invoque d'abord une violation des art. 13 et 18 par. 1 point b RD III, qui désignaient à son avis la compétence de la Bulgarie, mais non celle de la Hongrie, combinés avec l'art. 27 par. 1 RD III.</w:t>
      </w:r>
    </w:p>
    <w:p>
      <w:r>
        <w:rPr>
          <w:b/>
        </w:rPr>
        <w:t>E. 3.2</w:t>
      </w:r>
    </w:p>
    <w:p>
      <w:r>
        <w:t>La question de savoir si le Tribunal doit être amené à modifier sa jurisprudence, selon laquelle une violation d'une disposition du RD III ne peut être valablement invoquée devant le Tribunal lorsqu'elle n'est pas applicable directement (cf. ATAF 2015/19 consid. 4.5 ; 2010/27 consid. 5.2 et 5.3), suite aux arrêts de la CJUE du 7 juin 2016 dans les causes au principal Ghezelbash et Karim invoquées par le recourant (cf. Faits, let. L) ne se pose pas en l'espèce. En effet, il n'appartient pas à la Suisse saisie, après la Bulgarie le 3 juin 2015 et la Hongrie le 20 juin 2015, d'une (troisième) demande d'asile du recourant, le 6 juillet 2015, de déterminer l'Etat membre responsable de l'examen de cette demande selon les critères énoncés au chap. 3 du RD III (distinction entre reprise en charge et prise en charge), en l'absence d'un départ du recourant du territoire des Etats membres pendant une durée d'au moins trois mois, fait admis par celui-ci (cf. dans le même sens, ATAF 2012/4 consid. 3.2 concernant le RD II ; voir aussi l'arrêt précité Karim par. 23 à 26). Il est en conséquence vain au recourant d'invoquer une violation par le SEM de l'art. 13 RD III, même combiné avec l'art. 18 par. 1 point b RD III et l'art. 27 par. 1 RD III. Pour le reste, il appartenait à la Hongrie, à laquelle le recourant avait précédemment demandé l'asile, de répondre à la requête aux fins de reprise en charge du SEM fondée sur l'art. 18 par. 1 point b RD III dans le délai règlementaire de deux semaines. A défaut, elle est effectivement réputée avoir accepté cette requête, conformément à l'art. 25 par. 2 RD III. Cette fiction est pleinement valable, peu importe à cet égard que le SEM n'ait pas requis la Bulgarie aux fins d'une reprise en charge du recourant. De surcroît, il lui serait aujourd'hui vain de soumettre une telle requête à la Bulgarie, le délai réglementaire pour la déposer étant échu. Enfin, la situation de l'espèce est différente de celles dans les causes au principal Ghezelbash et Karim. En effet, ces causes étaient caractérisées par la non-transmission par l'Unité Dublin de l'Etat membre requérant à l'Unité Dublin de l'Etat membre requis des éléments de preuve ou des indices produits ou offerts à temps par le demandeur d'asile concerné ou par l'accord des deux Unités Dublin concernées, requérante et requise, sur l'absence de prise en compte de ces éléments ou indices (cf. également les conclusions de l'avocat général du 17 mars 2016 dans chacune de ces deux affaires). En revanche, en l'espèce, la requête aux fins de reprise en charge du SEM tacitement acceptée par la Hongrie était fondée sur des données obtenues par le système Eurodac et le recourant se base sur ces mêmes données pour contester cette acceptation, mais non sur d'autres éléments de preuve ou indices qu'il aurait produits en vain. La responsabilité de la Hongrie ne repose donc ni sur une application erronée d'un critère de responsabilité énoncé au chap. III similaire à celle survenue dans l'affaire Ghezelbash, ni sur une application erronée du processus de détermination de l'Etat membre responsable similaire à celle survenue dans l'affaire Karim.</w:t>
      </w:r>
    </w:p>
    <w:p>
      <w:r>
        <w:rPr>
          <w:b/>
        </w:rPr>
        <w:t>E. 3.3</w:t>
      </w:r>
    </w:p>
    <w:p>
      <w:r>
        <w:t>Au vu de ce qui précède, le grief de violation des art. 13 et 18 par. 1 point b RD III combinés avec l'art. 27 par. 1 RD III est, indépendamment de son caractère justiciable ou non, mal fondé. L'examen de la demande d'asile du recourant n'incombe donc pas à la Suisse en vertu des critères fixés dans le RD III.</w:t>
      </w:r>
    </w:p>
    <w:p>
      <w:r>
        <w:rPr>
          <w:b/>
        </w:rPr>
        <w:t>E. 4.1</w:t>
      </w:r>
    </w:p>
    <w:p>
      <w:r>
        <w:t>Autre est la question de la conformité du transfert du recourant vers la Hongrie, l'Etat membre désigné responsable, avec les obligations de la Suisse relevant du droit international public. Or, le dossier n'est pas suffisamment mûr pour permettre au Tribunal de se prononcer sur cette question.</w:t>
      </w:r>
    </w:p>
    <w:p>
      <w:r>
        <w:rPr>
          <w:b/>
        </w:rPr>
        <w:t>E. 4.2</w:t>
      </w:r>
    </w:p>
    <w:p>
      <w:r>
        <w:t>En effet, 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l'existence d'un risque réel pour les requérants d'être soumis à des traitements contraires à l'art. 3 CEDH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4.3</w:t>
      </w:r>
    </w:p>
    <w:p>
      <w:r>
        <w:t>Pour les mêmes motifs que ceux exposés dans l'arrêt mentionné ci-avant, le Tribunal n'est pas en l'état de statuer sur le grief du recours du 22 septembre 2015 quant à la contrariété du transfert avec l'art. 3 CEDH, et de confirmer ou d'infirmer la compétence de la Hongrie pour examiner la demande d'asile du 6 juillet 2015 du recourant, question dont l'issue reste ouverte. La décision attaquée doit être annulée pour constatation incomplète de l'état de fait pertinent (cf. art. 106 al. 1 let. b LAsi) et la cause renvoyée au SEM pour complément d'instruction, dans le sens de celui imposé par l'arrêt de référence D-7853/2015 précité, et nouvelle décision. Point n'est besoin d'examiner encore si le grief de violation de l'art. 29a al. 3 OA 1 doit conduire à la même issue.</w:t>
      </w:r>
    </w:p>
    <w:p>
      <w:r>
        <w:rPr>
          <w:b/>
        </w:rPr>
        <w:t>E. 4.4</w:t>
      </w:r>
    </w:p>
    <w:p>
      <w:r>
        <w:t>S'avérant manifestement fondé, le recours est admis dans une procédure à juge unique, avec l'approbation d'un second juge (cf. art. 111 let. e LAsi), le présent arrêt n'étant motivé que sommairement (cf. art. 111a al. 2 LAsi).</w:t>
      </w:r>
    </w:p>
    <w:p>
      <w:r>
        <w:rPr>
          <w:b/>
        </w:rPr>
        <w:t>E. 5</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La demande d'assistance judiciaire partielle devient ainsi sans objet. Il y a lieu d'allouer des dépens pour les frais nécessaires causés par le litige (cf. art. 64 al. 1 PA et art. 7 al. 1 du règlement du 21 février 2008 concernant les frais, dépens et indemnités fixés par le Tribunal administratif fédéral [FITAF, RS 173.320.2]). Ils sont évalués en tenant compte du décompte de prestations du 3 mars 2017, du caractère non indispensable de certains travaux et démarches, ainsi que de l'utilisation de modèles de texte. Ils sont ainsi fixés à 1'900 francs, à charge du SEM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