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E-5897/2010 vom 17. September 2010</w:t>
      </w:r>
    </w:p>
    <w:p>
      <w:r>
        <w:t>Bundesverwaltungsgericht, 2010-09-17, FR</w:t>
      </w:r>
    </w:p>
    <w:p>
      <w:r>
        <w:rPr>
          <w:b/>
        </w:rPr>
        <w:t xml:space="preserve">Quelle: </w:t>
      </w:r>
      <w:r>
        <w:t>https://mcp.opencaselaw.ch/entscheid/bvger_E-5897_2010</w:t>
      </w:r>
    </w:p>
    <w:p>
      <w:r>
        <w:t>FR: TAF E-5897/2010 du 17 septembre 2010</w:t>
      </w:r>
    </w:p>
    <w:p>
      <w:r>
        <w:t>IT: TAF E-5897/2010 del 17 settembre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3.1</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3.2</w:t>
      </w:r>
    </w:p>
    <w:p>
      <w:r>
        <w:t>En l'occurrence, bien qu'ait été expliquée au recourant la conséquence de la non-production d'une pièce d'identité, celui-ci n'a produit aucun document de voyage ni d'identité. Il a indiqué ne jamais avoir possédé de documents d'identité et ne pas pouvoir entreprendre lui-même les démarches en vue d'obtenir une carte d'identité, ce qui n'est pas plausible (cf. pv. de l'audition sommaire p. 3, pv. de l'audition fédérale p. 2 et 4). Il a ensuite affirmé n'avoir aucune personne qu'il pourrait contacter alors qu'il dispose d'un réseau familial et social à Bissau. Ainsi, l'épouse de son oncle, avec laquelle il aurait pourtant maintenu contact depuis le Sénégal, se trouverait toujours à Bissau, ville dans laquelle il aurait également des amis (cf. pv. de l'audition fédérale p. 8, 10 et 12). S'agissant de son voyage jusqu'en Suisse, il convient de retenir les indications vagues et stéréotypées du recourant sur les différents endroits où il aurait séjourné, ignorant en particulier l'adresse à laquelle il aurait vécu sur l'île de Lampedusa (cf. pv. de l'audition fédérale p. 11). Il n'est, de même, pas crédible que, même à supposer que l'intéressé ait voyagé sans documents de voyage, il n'ait subi aucun contrôle d'identité, surtout à son arrivée en Italie (cf. pv. de l'audition sommaire p. 6-7, pv. de l'audition fédérale p. 10-11). Force est enfin d'observer qu'il n'est pas possible, comme l'a prétendu l'intéressé, de quitter l'île de Lampedusa en train (cf. pv. de l'audition fédérale p. 11-12). Ces éléments permettent de conclure que le recourant cherche, pour le moins, à dissimuler ses documents de voyage. Au demeurant, dans son mémoire de recours, l'intéressé n'a pas davantage étayé les circonstances de son voyage ni les raisons pour lesquelles il aurait été empêché d'entreprendre des démarches en vue de se procurer un document d'identité ou de voyage.</w:t>
      </w:r>
    </w:p>
    <w:p>
      <w:r>
        <w:rPr>
          <w:b/>
        </w:rPr>
        <w:t>E. 3.3</w:t>
      </w:r>
    </w:p>
    <w:p>
      <w:r>
        <w:t>Le Tribunal considère, dès lors, que le recourant n'a fait valoir aucun motif excusable susceptible de justifier la non-production de documents au sens de l'art. 32 al. 3 let. a LAsi.</w:t>
      </w:r>
    </w:p>
    <w:p>
      <w:r>
        <w:rPr>
          <w:b/>
        </w:rPr>
        <w:t>E. 4.1</w:t>
      </w:r>
    </w:p>
    <w:p>
      <w:r>
        <w:t>Avec la réglementation prévue à l'art. 32 al. 2 let. a et à l'art. 32 al. 3 LAsi, le législateur a également voulu instaurer une procédure d'examen matériel sommaire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4.2</w:t>
      </w:r>
    </w:p>
    <w:p>
      <w:r>
        <w:t>Dans le cas d'espèce, c'est à juste titre que l'ODM a considéré que la qualité de réfugié du recourant n'était pas établie au terme de l'audition (art. 32 al. 3 let. b LAsi), conformément aux art. 3 et 7 LAsi.</w:t>
      </w:r>
    </w:p>
    <w:p>
      <w:r>
        <w:rPr>
          <w:b/>
        </w:rPr>
        <w:t>E. 4.3</w:t>
      </w:r>
    </w:p>
    <w:p>
      <w:r>
        <w:t>Le Tribunal considère, en effet, que le recourant a livré un récit peu détaillé et divergent.</w:t>
      </w:r>
    </w:p>
    <w:p>
      <w:r>
        <w:rPr>
          <w:b/>
        </w:rPr>
        <w:t>E. 4.3.1</w:t>
      </w:r>
    </w:p>
    <w:p>
      <w:r>
        <w:t>A titre d'exemple, on retiendra qu'il a indiqué, dans un premier temps, que les militaires responsables de l'assassinat de son oncle étaient ses amis (cf. pv. de l'audition sommaire p. 4) puis, dans un deuxième temps, qu'il ne savait pas de qui il s'agissait (cf. pv. de l'audition fédérale p. 8). L'intéressé a également affirmé que son oncle avait été fusillé puis qu'il n'avait pas vu si les militaires détenaient un fusil (cf. pv. de l'audition sommaire p. 5, pv. de l'audition fédérale p. 7). De même, lors de son audition sommaire, il a relaté s'être enfui sur les conseils de sa tante et après avoir éteint la lumière (cf. pv. de l'audition sommaire p. 4) alors qu'au cours de son audition fédérale, il a prétendu que sa tante ne lui avait rien dit et qu'il n'avait eu aucun geste particulier avant de prendre la fuite (cf. pv. de l'audition fédérale p. 8). Entendu sur ces contradictions, le recourant n'a fourni aucune explication convaincante puisqu'il s'est contenté d'invoquer des incompréhensions (cf. pv. de l'audition fédérale p. 12).</w:t>
      </w:r>
    </w:p>
    <w:p>
      <w:r>
        <w:rPr>
          <w:b/>
        </w:rPr>
        <w:t>E. 4.3.2</w:t>
      </w:r>
    </w:p>
    <w:p>
      <w:r>
        <w:t>En outre, l'intéressé n'a donné qu'une description générale et imprécise de son oncle et des activités de celui-ci, ce qui n'est pas admissible s'agissant d'une personne qui a vécu sous le même toit durant treize ans (cf. pv. de l'audition fédérale p. 5-6). Ses indications sur les circonstances fantasques de sa fuite, grâce à l'aide providentielle, ne se sont pas révélées davantage plausibles (cf. pv. de l'audition fédérale p. 7). De plus, si le recourant était effectivement recherché par les autorités, elles l'auraient certainement recherché au cours de son séjour de deux mois à l'hôpital puis au domicile familial à sa sortie. D'ailleurs, le fait que l'intéressé soit retourné chez lui et y ait vécu encore un mois n'est pas le comportement d'une personne qui se sent réellement menacée (cf. pv. de l'audition fédérale p. 5, 8 et 13).</w:t>
      </w:r>
    </w:p>
    <w:p>
      <w:r>
        <w:rPr>
          <w:b/>
        </w:rPr>
        <w:t>E. 4.3.3</w:t>
      </w:r>
    </w:p>
    <w:p>
      <w:r>
        <w:t>Il convient enfin de relever que les propos du recourant, qui n'a nullement établi son lien de parenté avec Baciro Dabo, ne correspondent pas aux informations disponibles sur l'assassinat de celui-ci, événement largement répandu dans les médias et apparemment utilisé pour les besoins de la cause, s'agissant notamment du moment de l'assassinat, du déroulement de celui-ci, des armes utilisées, des personnes impliquées et de la date des obsèques (cf. notamment www.jeuneafrique.com, www.lequotidien.sn, www.letemps.sn).</w:t>
      </w:r>
    </w:p>
    <w:p>
      <w:r>
        <w:rPr>
          <w:b/>
        </w:rPr>
        <w:t>E. 4.4</w:t>
      </w:r>
    </w:p>
    <w:p>
      <w:r>
        <w:t>Au demeurant, force est de constater que le recours ne contient aucun argument ni moyen de preuve de nature à remettre en cause l'analyse développée ci-dessus et dans la décision attaquée à laquelle il y a lieu, pour le surplus, de renvoyer (cf. consid. I 2 p. 3).</w:t>
      </w:r>
    </w:p>
    <w:p>
      <w:r>
        <w:rPr>
          <w:b/>
        </w:rPr>
        <w:t>E. 4.5</w:t>
      </w:r>
    </w:p>
    <w:p>
      <w:r>
        <w:t>La décision de non-entrée en matière sur la demande d'asile du recourant, prononcée par l'ODM le 13 août 2010, est dès lors confirmée et le recours rejeté sur ce point.</w:t>
      </w:r>
    </w:p>
    <w:p>
      <w:r>
        <w:rPr>
          <w:b/>
        </w:rPr>
        <w:t>E. 5.1</w:t>
      </w:r>
    </w:p>
    <w:p>
      <w:r>
        <w:t>Lorsque l'ODM refuse d'entrer en matière sur une demande d'asile, il prononce en principe le renvoi de Suisse et en ordonne l'exécution (art. 44 al. 1 LAsi)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Le Tribunal retient, au vu de ce qui précède (cf. consid. 4), que le recourant n'a pas rendu vraisemblable l'existence de traitements contraires à ces dispositions de droit international.</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 et ensuite aux personnes pour lesquelles un retour reviendrait à les mettre concrètement en danger, notamment parce qu'elles ne pourraient plus recevoir les soins dont elles ont besoin.</w:t>
      </w:r>
    </w:p>
    <w:p>
      <w:r>
        <w:rPr>
          <w:b/>
        </w:rPr>
        <w:t>E. 8.3</w:t>
      </w:r>
    </w:p>
    <w:p>
      <w:r>
        <w:t>En dépit des différents coups d'Etat intervenus en 2009 et au début de l'année 2010, on ne saurait considérer que la Guinée-Bissau connaît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En outre, il ne ressort du dossier aucun élément dont on pourrait inférer que l'exécution du renvoi impliquerait une mise en danger concrète du recourant. Le recourant est, en effet, jeune, sans charge de famille et au bénéfice d'une expérience professionnelle de plus de cinq ans en tant que commerçant (cf. pv. de l'audition sommaire p. 2). Il dispose d'un réseau familial et social dans son pays, sur lequel il pourra compter à son retour. S'agissant de son état de santé, il n'apparaît pas que ses problèmes médicaux (ancienne fracture du bras et hernie) sont d'une gravité telle qu'ils constituent un empêchement au renvoi, dans la mesure où ils ne nécessitent pas des soins essentiels ou des traitements complexes entrant dans la notion de soins essentiels qui devraient impérativement se poursuivre en Suisse, ceci conformément aux principes jurisprudentiels rappelés ci-dessus. A noter d'ailleurs que l'intéressé a pu être réopéré en Suisse suite à sa fracture du bras. Il n'y a donc pas lieu de considérer que l'exécution de son renvoi conduirait à une mise en danger concrète de sa vie à brève échéance, ses problèmes de santé ne devant pas, au vu de leur nature, l'empêcher de reprendre une activité commerçante. A cela s'ajoute qu'il est loisible à l'intéressé de solliciter, au besoin, une aide médicale au retour</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