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E-5895/2014 vom 27. November 2014</w:t>
      </w:r>
    </w:p>
    <w:p>
      <w:r>
        <w:t>Bundesverwaltungsgericht, 2014-11-27, DE</w:t>
      </w:r>
    </w:p>
    <w:p>
      <w:r>
        <w:rPr>
          <w:b/>
        </w:rPr>
        <w:t xml:space="preserve">Quelle: </w:t>
      </w:r>
      <w:r>
        <w:t>https://mcp.opencaselaw.ch/entscheid/bvger_E-5895_2014</w:t>
      </w:r>
    </w:p>
    <w:p>
      <w:r>
        <w:t>FR: TAF E-5895/2014 du 27 novembre 2014</w:t>
      </w:r>
    </w:p>
    <w:p>
      <w:r>
        <w:t>IT: TAF E-5895/2014 del 27 novembre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3.3</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4.1</w:t>
      </w:r>
    </w:p>
    <w:p>
      <w:r>
        <w:t>Die Vorinstanz hält in der angefochtenen Verfügung fest, dass die Vorbringen des Beschwerdeführers weder den Anforderungen an die Glaubhaftigkeit noch denjenigen an die Flüchtlingseigenschaft gemäss Art. 3 AsylG genügten. Was der Beschwerdeführer in der Rechtsmitteleingabe dagegen vorbringt, vermag die vorinstanzlichen Erwägungen nicht zu entkräften. So hat er namentlich nicht aufgezeigt, inwiefern die geschilderten Nachteile in asylrelevanter Weise seine Ausreise begründet hätten. Wie die Vorinstanz zutreffend feststellt, haben die im Zusammenhang mit seiner früheren Mitgliedschaft in der Lehrergewerkschaft ergriffenen staatlichen Massnahmen den Beschwerdeführer in all den Jahren nicht dazu veranlasst, das Land zu verlassen. Überhaupt gelingt ihm auch in der Rechtsmitteleingabe die Darlegung nicht, weshalb die äthiopischen Behörden gerade an ihm hätten interessiert sein sollen. Sein Engagement im Rahmen der Lehrergewerkschaft ist - wie die Vorinstanz zu Recht sagt - zu wenig gewichtig, um auf ihn aufmerksam zu werden.</w:t>
      </w:r>
    </w:p>
    <w:p>
      <w:r>
        <w:rPr>
          <w:b/>
        </w:rPr>
        <w:t>E. 4.2</w:t>
      </w:r>
    </w:p>
    <w:p>
      <w:r>
        <w:t>Was die behauptete Inhaftierung, Folterung und den Zwang zu Falschaussagen gegen verdächtige Personen betrifft, mangelt es in der Tat an der Glaubhaftigkeit. Wie die Vorinstanz richtig bemerkt, hätten die Behörden ein solches Konstrukt gegen ihr verdächtige Personen gar nicht benötigt um ihrer habhaft zu werden. Weiter kann der Beschwerdeführer in der Rechtsmitteleingabe nicht erklären, weshalb seine Erläuterungen der Reiseumstände derart unpräzise geblieben sind. Die fehlenden Angaben zum Reisepass, zum Ort der Zwischenlandung, zum Nachbarland und zur mehrtägigen Weiterreise in die Schweiz können nicht allein damit begründet werden, dass er dem Schlepper in der Hektik und Aufregung blind folgen musste und dieser viele illegale Wege kenne. Ferner klärt der Beschwerdeführer den Widerspruch nicht auf, weshalb er in der Erstbefragung sagte, sein Pass befände sich in der Heimat, in der Anhörung aber beschied, diesen weggeschmissen zu haben.</w:t>
      </w:r>
    </w:p>
    <w:p>
      <w:r>
        <w:rPr>
          <w:b/>
        </w:rPr>
        <w:t>E. 4.3</w:t>
      </w:r>
    </w:p>
    <w:p>
      <w:r>
        <w:t>Die Vorbringen des Beschwerdeführers in Bezug auf die geltend gemachten subjektiven Nachfluchtgründe vermögen nicht überzeugend darzulegen, inwiefern seine Aktivitäten in auffälliger Weise über massentypisches exilpolitisches Verhalten hinausgingen. Namentlich kann der Beschwerdeführer keine leitende, herausgehobene Funktion aufzeigen, welche ihn mit überwiegender Wahrscheinlichkeit in den Fokus der äthiopischen Behörden hätten geraten lassen. Auch hat der Beschwerdeführer sich vor seiner Ausreise in Äthiopien gemäss eigenen Angaben nie politisch engagiert, was seine Beobachtung auch in der Schweiz durch die äthiopischen Behörden hätte veranlassen können. Es kann in diesem Zusammenhang auf die ausführlichen vorinstanzlichen Erwägungen verwiesen werden. In der Rechtsmitteleingabe wird nichts vorgebracht, was diese in einem anderen Licht erscheinen lassen müssten.</w:t>
      </w:r>
    </w:p>
    <w:p>
      <w:r>
        <w:rPr>
          <w:b/>
        </w:rPr>
        <w:t>E. 4.4</w:t>
      </w:r>
    </w:p>
    <w:p>
      <w:r>
        <w:t>Zusammenfassend hat der Beschwerdeführer in der Rechtsmitteleingabe nichts vorgebracht, was der vorinstanzlichen Beweiswürdigung die Grundlage entziehen würde und geeignet wäre, die Flüchtlingseigenschaft nachzuweisen oder glaubhaft zu machen. Er hat damit insbesondere nicht aufgezeigt, inwiefern die angefochtene Verfügung Bundesrecht verletzt oder sonst zu beanstanden wäre (Art. 106 Abs. 1 AsylG), weshalb die Vorinstanz das Asylgesuch zu Recht abgelehnt hat.</w:t>
      </w:r>
    </w:p>
    <w:p>
      <w:r>
        <w:rPr>
          <w:b/>
        </w:rPr>
        <w:t>E. 5.1</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5.2</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5.3</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Der Beschwerdeführer bringt diesbezüglich vor, da er die Flüchtlingseigenschaft erfülle und ihm bei einer allfälligen Rückkehr nach Äthiopien ernsthafte Nachteile drohten, stehe eine Wegweisung im Widerspruch zu Art. 33 FK sowie Art. 3 EMRK und Art. 3 FoK und sei unzulässig. Entgegen den Ausführungen des Beschwerdeführers ergeben sich nach den erfolgten Erwägungen und aufgrund der Akten keine konkrete Anhaltspunkte dafür, dass er für den Fall einer Ausschaffung nach Äthiopien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5.4</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führt diesbezüglich aus, Äthiopien habe am 12. Dezember 2000 mit Eritrea ein Friedensabkommen unterzeichnet. Seit dem Waffenstillstand vom Juni 2000 hätten beide Länder trotz sporadischem Wiederaufflackern des Grenzkonflikts darauf verzichtet, ihre unterschiedlichen Standpunkte mit militärischer Gewalt durchzusetzen. In Äthiopien herrsche heute weder Krieg noch Bürgerkrieg noch eine Situation allgemeiner Gewalt im Sinne von Art. 83 Abs. 4 AuG. Der Beschwerdeführer bringt dagegen vor, die humanitäre Situation in Äthiopien sei infolge Dürre und Missernten schlecht. Zudem würde er bei einem Stellenantritt wiederum verfolgt und ernsthaften Nachteilen ausgesetzt. Er würde von den Behörden wieder zur Zusammenarbeit gezwungen oder verhaftet. In Äthiopien herrscht keine Situation allgemeiner Gewalt, weshalb in konstanter Praxis von der generellen Zumutbarkeit des Wegweisungsvollzugs dorthin ausgegangen wird (vgl. dazu Urteile des Bundesverwaltungsgerichts D-5248/2008 vom 12. Februar 2009, E-368/2009 vom 12. Februar 2009 und jüngst E-705/2014 vom 6. März 2014). Konkrete Anhaltspunkte dafür, dass der Beschwerdeführer bei einer Rückkehr einer Gefährdungssituation ausgesetzt wäre oder aus individuellen Gründen wirtschaftlicher, sozialer oder gesundheitlicher Natur in eine existenzbedrohende Situation geraten würde, liegen keine vor, zumal seinen Vorbringen - wie vorstehend ausgeführt - Glaubhaftigkeit und Flüchtlingsrelevanz fehlen. Wie die Vorinstanz richtig bemerkt, verfügt der Beschwerdeführer über einen ausgezeichneten Bildungshintergrund und war zuletzt an einer Privatschule als C._______ angestellt. Auch wenn ihm diese Stelle infolge Ausreise gekündigt worden ist, dürfte es ihm aufgrund seiner guten Ausbildung leicht fallen, wieder eine solide Anstellung zu finden. Schliesslich ist der Beschwerdeführer bei guter Gesundheit und mit den lokalen Verhältnissen bestens vertraut, was eine erfolgreiche Reintegration in die dortige Gesellschaft begünstigt. Der Vollzug der Wegweisung erweist sich somit als zumutbar.</w:t>
      </w:r>
    </w:p>
    <w:p>
      <w:r>
        <w:rPr>
          <w:b/>
        </w:rPr>
        <w:t>E. 5.5</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Der Beschwerdeführer macht Bedürftigkeit geltend und beantragt die Gewährung der unentgeltlichen Rechtspflege gemäss Art. 65 VwVG. Aufgrund der vorstehenden Erwägungen ergibt sich, dass seine Begehren als aussichtslos zu gelten haben. Damit ist eine der kumulativ zu erfüllenden Voraussetzungen zur Gewährung der unentgeltlichen Rechtspflege nicht gegeben, weshalb dem Gesuch nicht stattzugeben ist.</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