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E-5893/2018 vom 23. November 2018</w:t>
      </w:r>
    </w:p>
    <w:p>
      <w:r>
        <w:t>Bundesverwaltungsgericht, 2018-11-23, DE</w:t>
      </w:r>
    </w:p>
    <w:p>
      <w:r>
        <w:rPr>
          <w:b/>
        </w:rPr>
        <w:t xml:space="preserve">Quelle: </w:t>
      </w:r>
      <w:r>
        <w:t>https://mcp.opencaselaw.ch/entscheid/bvger_E-5893_2018</w:t>
      </w:r>
    </w:p>
    <w:p>
      <w:r>
        <w:t>FR: TAF E-5893/2018 du 23 novembre 2018</w:t>
      </w:r>
    </w:p>
    <w:p>
      <w:r>
        <w:t>IT: TAF E-5893/2018 del 23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Anfechtungsobjekte sind vorliegend die Zwischenverfügung der Vorinstanz vom 24. August 2018 betreffend Akteneinsichtsgesuch und die Verfügung vom 4. September 2018 betreffend Entscheid über das Mehrfachgesuch. 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108 Abs. 1 AsylG; Art. 48 Abs. 1 sowie Art. 52 Abs. 1 VwVG). Auf die Beschwerde ist unter Vorbehalt von Erwägung 1.3 einzutreten.</w:t>
      </w:r>
    </w:p>
    <w:p>
      <w:r>
        <w:rPr>
          <w:b/>
        </w:rPr>
        <w:t>E. 1.3</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A-5275/2015,A-5278/2015 vom 4. November 2016 E. 6). Das SEM gewährte dem Beschwerdeführer mit Zwischenverfügung vom 24. August 2018 antragsgemäss Einsicht in die Vollzugsakten.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6</w:t>
      </w:r>
    </w:p>
    <w:p>
      <w:r>
        <w:t>Der Beschwerdeführer beantragt ferner,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Lagebildes, zumal die Begründung der beiden Anträge praktisch identisch ist. Der Antrag ist folglich abzuweisen (vgl. Urteil des BVGer E-5015/2018 vom 1. Oktober 2018 E. 6).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7.1</w:t>
      </w:r>
    </w:p>
    <w:p>
      <w:r>
        <w:t>In der Beschwerdeschrift werden der Vorinstanz sodann Verletzungen des Willkürverbots, Verletzung des rechtlichen Gehörs (inklusive Begründungspflicht) sowie die unrichtige und unvollständige Feststellung des rechtserheblichen Sachverhalts vorgeworfen.</w:t>
      </w:r>
    </w:p>
    <w:p>
      <w:r>
        <w:rPr>
          <w:b/>
        </w:rPr>
        <w:t>E. 7.2</w:t>
      </w:r>
    </w:p>
    <w:p>
      <w:r>
        <w:t>Der Beschwerdeführer bringt im Zusammenhang mit der Einsicht in die Vollzugsakten vor, das SEM habe ihm zwar mit Zwischenverfügung vom 24. August 2018 Akteneinsicht gewährt, aber sämtliche weiteren Punkte des Akteneinsichtsgesuchs nicht behandelt. Dazu ist festzuhalten, dass das SEM dem Akteneinsichtsrecht des Beschwerdeführers Genüge getan und die weiteren Punkte des Akteneinsichtsgesuchs in seiner Verfügung vom 4. September 2018 materiell zur Genüge behandelt hat (vgl. hierzu Bst. C vorstehend). Das SEM hat dem Beschwerdeführer mit Zwischenverfügung vom 24. August 2018 in Anwendung von Art. 27 VwVG Einsicht in alle Vollzugsakten gewährt. Er beanstandet die Art und Weise der Edition nicht und es ist nicht ersichtlich, inwiefern diese Offenlegung nicht rechtskonform wäre. Diesen Akten war zu entnehmen, ob und welche Akten allenfalls im Zusammenhang mit der Papierbeschaffung standen. Damit wurde auch der Ziff. 2 und 3 des Akteneinsichtsgesuchs implizit entsprochen. Betreffend den Antrag der Ziff. 5 des Akteneinsichtsgesuchs kann auf zahlreiche andere vom Rechtsvertreter geführte Verfahren verwiesen werden (vgl. beispielsweise das Urteil des BVGer D-1042/2018 vom 23. April 2018 E. 7.2.2), weshalb das SEM nicht weiter auf diesen Antrag einzugehen hatte, zumal es sich nicht mit sämtlichen Vorbringen des Beschwerdeführers auseinanderzusetzen hat.</w:t>
      </w:r>
    </w:p>
    <w:p>
      <w:r>
        <w:rPr>
          <w:b/>
        </w:rPr>
        <w:t>E. 7.3</w:t>
      </w:r>
    </w:p>
    <w:p>
      <w:r>
        <w:t>Vorliegend ist folglich festzustellen, dass keine Verletzung der Begründungspflicht vorliegt (vgl. BVGE 2011/37 E. 5.4.2; 2008/47 E. 3.2). Aus der angefochtenen Verfügung ergibt sich, dass das SEM nachvollziehbar und im Einzelnen rechtsgenüglich ausgeführt hat, von welchen Überlegungen es sich leiten liess. Es hat sich auch mit allen wesentlichen Vorbringen des Beschwerdeführers auseinandergesetzt.</w:t>
      </w:r>
    </w:p>
    <w:p>
      <w:r>
        <w:rPr>
          <w:b/>
        </w:rPr>
        <w:t>E. 7.4</w:t>
      </w:r>
    </w:p>
    <w:p>
      <w:r>
        <w:t>Der Beschwerdeführer sieht ferner seinen Anspruch auf rechtliches Gehör deshalb als verletzt an, weil die Vorinstanz ihn trotz entsprechendem Antrag nicht erneut zu seinen Asylgründen angehört habe. Dazu ist festzuhalten, dass die Vorinstanz nicht verpflichtet war, den Beschwerdeführer erneut anzuhören. Das zweite Asylgesuch wurde nach dem rechtskräftigen Abschluss des ersten Asylverfahrens innerhalb der Fünfjahresfrist von Art. 111c AsylG eingereicht. Bei dieser Konstellation ist eine Anhörung gemäss Art. 29 AsylG grundsätzlich nicht vorgesehen (vgl. BVGE 2014/39 E. 4.3). Der bereits im erstinstanzlichen Verfahren anwaltlich vertretene Beschwerdeführer konnte die neu geltend gemachten Asylgründe in seinem dreissig Seiten umfassenden schriftlichen Mehrfachgesuch ausführlich darlegen. In der Beschwerde wird denn auch diesbezüglich nichts Neues vorgetragen. Der Beschwerdeführer war aufgrund der ihm obliegenden Mitwirkung (vgl. Art. 8 AsylG) verpflichtet, seine (neuen) Asylgründe bereits bei der Einreichung des Mehrfachgesuchs umfassend sowie substantiiert darzutun und mit entsprechenden Beweismitteln zu belegen. Die Rüge erweist sich als unbegründet.</w:t>
      </w:r>
    </w:p>
    <w:p>
      <w:r>
        <w:rPr>
          <w:b/>
        </w:rPr>
        <w:t>E. 7.5.1</w:t>
      </w:r>
    </w:p>
    <w:p>
      <w:r>
        <w:t>Der Beschwerdeführer rügt ferner eine Verletzung des Willkürverbots, weil die Vorinstanz die von ihm in seinem Mehrfachgesuch vorgebrachten zusätzlichen Sachverhalte zu Unrecht als nicht flüchtlingsrelevant respektive in Bezug auf die geltend gemachte Reflexverfolgung seiner Verwandten als unglaubhaft qualifiziert habe. Die neu eingereichten Beweismittel würden seine wahre Geschichte unterstreichen. Die Vorgehensweise der Vorinstanz, sein Asylgesuch in jedem Fall abzulehnen, sei willkürlich und rechtswidrig. Sollte darin keine Verletzung des Willkürverbots gesehen werden, seien die gerügten Mängel unter dem Titel der Begründungspflichtverletzung zu prüfen.</w:t>
      </w:r>
    </w:p>
    <w:p>
      <w:r>
        <w:rPr>
          <w:b/>
        </w:rPr>
        <w:t>E. 7.5.2</w:t>
      </w:r>
    </w:p>
    <w:p>
      <w:r>
        <w:t>Die geltend gemachte Verletzung des Willkürverbots ist nicht genügend substantiiert. Unter Berücksichtigung der nachfolgenden Ausführungen zum Asylpunkt erscheint die Beurteilung der Vorinstanz durchaus vertretbar. Eine Verletzung des rechtlichen Gehörs liegt, wie erwähnt, nicht vor, weshalb auch das Willkürverbot nicht verletzt ist. Eine andere Würdigung des Sachverhalts durch die Vorinstanz als vom Beschwerdeführer gewünscht bedeutet noch keine Willkür.</w:t>
      </w:r>
    </w:p>
    <w:p>
      <w:r>
        <w:rPr>
          <w:b/>
        </w:rPr>
        <w:t>E. 7.6.1</w:t>
      </w:r>
    </w:p>
    <w:p>
      <w:r>
        <w:t>Zur Rüge der unrichtigen respektive unvollständigen Feststellung des rechtserheblichen Sachverhalts ist vorab festzustellen, dass sich die diesbezüglichen Beschwerdevorbringen im Kern nicht gegen die Sachverhaltsfeststellungen der Vorinstanz, sondern gegen die der Verfügung zugrundeliegende Beweiswürdigung und die rechtliche Würdigung der gesuchsbegründenden Vorbringen richten. Diese Aspekte sind in materieller Hinsicht zu beurteilen.</w:t>
      </w:r>
    </w:p>
    <w:p>
      <w:r>
        <w:rPr>
          <w:b/>
        </w:rPr>
        <w:t>E. 7.6.2</w:t>
      </w:r>
    </w:p>
    <w:p>
      <w:r>
        <w:t>Der Beschwerdeführer macht geltend, die Vorinstanz habe die Tragweite seiner Vorbringen im Kontext mit der aktuellen Situation in Sri Lanka nur unzureichend erkannt. Sie habe seine Vorbringen nicht richtig in den sri-lankischen Kontext eingeordnet und aus diesem Grund den Sachverhalt unrichtig und unvollständig festgestellt. Seine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genüge das vom SEM erstellte Lagebild vom 16. August 2016 nicht den Anforderungen an korrekt erhobene Länderinformationen. Weiter habe es die Vorinstanz unterlassen, die Folgen eines behördlichen "Backgroundchecks" im Zusammenhang mit der Beantragung der Ausstellung von Reisepapieren sowie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 Diese Rügen gehen fehl. Die Vorinstanz hat die Ausführungen des Beschwerdeführers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w:t>
      </w:r>
    </w:p>
    <w:p>
      <w:r>
        <w:rPr>
          <w:b/>
        </w:rPr>
        <w:t>E. 7.7</w:t>
      </w:r>
    </w:p>
    <w:p>
      <w:r>
        <w:t>Zusammenfassend folgt, dass die Hauptanträge des Beschwerdeführers, die angefochtenen Verfügungen seien wegen Verletzung des rechtlichen Gehörs, des Willkürverbots, der Begründungspflicht respektive der unvollständigen oder unrichtigen Feststellung des Sachverhaltes zu kassieren und zur Neubeurteilung an die Vorinstanz zurückzuweisen, abzuweisen sind.</w:t>
      </w:r>
    </w:p>
    <w:p>
      <w:r>
        <w:rPr>
          <w:b/>
        </w:rPr>
        <w:t>E. 8.1</w:t>
      </w:r>
    </w:p>
    <w:p>
      <w:r>
        <w:t>Nach dem Gesagten ist auf die Beweisanträge Ziffn. 1, 3 und 4 (vgl. S. 65 f. der Beschwerdeeingabe) nicht weiter einzugehen (vgl. E. 7 oben).</w:t>
      </w:r>
    </w:p>
    <w:p>
      <w:r>
        <w:rPr>
          <w:b/>
        </w:rPr>
        <w:t>E. 8.2</w:t>
      </w:r>
    </w:p>
    <w:p>
      <w:r>
        <w:t>Der Beschwerdeführer rügt die Verletzung fundamentaler Datenschutz-bestimmungen durch die Vorinstanz. In Art. 97 Abs. 3 AsylG und Art. 16 Bst. c Migrationsabkommen sei abschliessend aufgelistet, welche Daten über ihn an Sri Lanka übermittelt werden dürften.</w:t>
      </w:r>
    </w:p>
    <w:p>
      <w:r>
        <w:rPr>
          <w:b/>
        </w:rPr>
        <w:t>E. 8.2.1</w:t>
      </w:r>
    </w:p>
    <w:p>
      <w:r>
        <w:t>Wie dem Rechtsvertreter bereits bekannt ist, bezog das Bundesverwaltungsgericht in BVGE 2017 VI/6 Stellung zu den entsprechenden Rügen im Zusammenhang mit dem Migrationsabkommen Schweiz-Sri Lanka betreffend die Datenweitergabe und damit möglicherweise verbundene Verpflichtungen der Schweizer Migrationsbehörden. Darauf ist zu verweisen (vgl. BVGE 2017 VI/6 E. 2.5; sowie beispielshaft Urteile des BVGerD-5100/2017 vom 12. April 2018 E. 5.2 und E-4293/2018 vom 8. August 2018 E. 8). Demzufolge ist der Antrag des Beschwerdeführers auf Feststellung der Widerrechtlichkeit der Übermittlung seiner Personendaten an die sri-lankischen Behörden abzuweisen.</w:t>
      </w:r>
    </w:p>
    <w:p>
      <w:r>
        <w:rPr>
          <w:b/>
        </w:rPr>
        <w:t>E. 8.2.2</w:t>
      </w:r>
    </w:p>
    <w:p>
      <w:r>
        <w:t>Aus diesen Feststellungen ergibt sich ferner, dass die Frage, inwiefern die sri-lankische Gesetzgebung dem schweizerischen Datenschutzniveau entspricht, für das vorliegende Verfahren offen bleiben kann. Der Beweisantrag des Beschwerdeführers, das SEM sei anzuweisen darzulegen, inwiefern die sri-lankische Gesetzgebung im Bereich Datenschutzgesetz dem Schweizer Schutzniveau entspreche und ob in diesem Zusammenhang die ihn betreffenden und an die sri-lankischen Behörden überwiesenen Daten im Sinne des entsprechenden schweizerischen Schutzniveaus behandelt würden (vgl. Beweisantrag Ziff. 2), ist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gesuchsbegründenen Aussagen in verschiedenen Entscheiden dargelegt und folgt dabei ständiger Praxis. Darauf kann hier verwiesen werden (vgl. BVGE 2010/57 E. 2.2 f. und BVGE 2012/5 E. 2.2).</w:t>
      </w:r>
    </w:p>
    <w:p>
      <w:r>
        <w:rPr>
          <w:b/>
        </w:rPr>
        <w:t>E. 10.1</w:t>
      </w:r>
    </w:p>
    <w:p>
      <w:r>
        <w:t>Die Vorinstanz ist in ihren Erwägungen zur zutreffenden Erkenntnis gelangt, dass es dem Beschwerdeführer auch mit der Begründung seines zweiten Asylgesuchs nicht gelungen ist, asyl- respektive flüchtlingsrelevante Gründe darzutun. Zur Vermeidung von Wiederholungen kann vollumfänglich auf die Erwägungen in der angefochtenen Verfügung (vgl. Bst. C vorstehend) verwiesen werden. Sie sind in keinem Punkt zu beanstanden. Insbesondere ist die Vorinstanz vorliegend zu Recht davon ausgegangen, dass auch in Berücksichtigung der im zweiten Asylverfahren zu den Akten gereichten Beweismittel keine relevanten Hinweise für eine Änderung der Einschätzung des Risikoprofils vorliegen, die geeignet wären, zu einem für den Beschwerdeführer günstigeren Ergebnis zu führen. Dem Beschwerdeführer ist es im rechtskräftig abgeschlossenen ersten Asylverfahren weder gelungen, eine asylrelevante Vor- oder Reflexverfolgung seiner Familienangehörigen glaubhaft zu machen, noch subjektive Nachfluchtgründe aufgrund seiner exilpolitischen Aktivitäten in der Schweiz darzutun. Zu den im zweiten Asylgesuch zusätzlich geltend gemachten exilpolitischen Aktivitäten wurde in der angefochtenen Verfügung zutreffend ausgeführt, dem Beschwerdeführer sei es auch mit den neu eingereichten Beweismitteln nicht gelungen, flüchtlingsrechtlich relevante Nachfluchtgründe darzutun. Er erscheine nicht als Person mit einem ausgeprägten politischen Profil, weshalb er bei einer Rückkehr keine über den üblichen "Backgroundcheck" hinausgehenden Massnahmen zu befürchten habe. Deshalb und nicht zuletzt auch aufgrund des fehlenden Beweiswerts der Fotos zur polizeilichen Befragung der Mutter ist auch nicht davon auszugehen, dass die Familienangehörigen des Beschwerdeführers einer Reflexverfolgung seitens der sri-lankischen Behörden ausgesetzt sein könnten. Die Beschwerdevorbringen sind nicht geeignet, zu einer anderen Beurteilung zu gelangen.</w:t>
      </w:r>
    </w:p>
    <w:p>
      <w:r>
        <w:rPr>
          <w:b/>
        </w:rPr>
        <w:t>E. 10.2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w:t>
      </w:r>
    </w:p>
    <w:p>
      <w:r>
        <w:rPr>
          <w:b/>
        </w:rPr>
        <w:t>E. 10.3</w:t>
      </w:r>
    </w:p>
    <w:p>
      <w:r>
        <w:t>Nach dem Gesagten erfüllt der Beschwerdeführer keine der oben erwähnten stark risikobegründenden Faktoren. Zwar kann die Teilnahme an exilpolitischen regimekritischen Handlungen risikofördernd sein. Die erwähnten Teilnahmen an Kundgebungen in der Schweiz sind indessen als niederschwellig zu bezeichnen und zeugen nicht von einem Interesse des Beschwerdeführers an einem Wiederaufflammen des tamilischen Separatismus. Insbesondere ist davon auszugehen, dass die sri-lankischen Behörden blosse "Mitläufer" von Massenveranstaltungen als solche identifizieren können und diese in Sri Lanka mithin nicht als Gefahr wahrgenom-men werden (vgl. a.a.O. E. 8.4.2 und 8.5.4). Daran vermag auch das auf der Facebook-Seite der B._______ Schweiz veröffentlichte Video nichts zu ändern, weil dieser Umstand für sich alleine genommen für die Annahme eines besonders exponierten Profils nicht genügt. Der Beschwerdeführer ist auch nicht wegen einer Straftat angeklagt oder verurteilt worden und ist mit keinem Strafregistereintrag belastet. Eine Gefährdung alleine aufgrund der tamilischen Ethnie, seiner Herkunft aus dem Norden und der rund vierjährigen Landesabwesenheit kann ausgeschlossen werden. In die Gesamtwürdigung ist weiter der familiäre Hintergrund des Beschwerdeführers miteinzubeziehen. Seine Familie in Sri Lanka weist aktuell keine Verbindungen zu den LTTE aus. Es ist nicht anzunehmen, dass ihm persönlich im Falle einer Rückkehr nach Sri Lanka ernsthafte Nachteile im Sinne von Art. 3 AsylG drohen würden. Dies ergibt sich auch nicht aus den auf Beschwerdeebene eingereichten Dokumenten, Berichten und Länderinformationen, die sich im Wesentlichen ohne konkreten Bezug zum Beschwerdeführer auf die allgemeine Situation in Sri Lanka beziehen. Der Beschwerdeführer weist somit kein Gesamtprofil auf, aufgrund dessen er ins Visier der sri-lankischen Behörden geraten könnte.</w:t>
      </w:r>
    </w:p>
    <w:p>
      <w:r>
        <w:rPr>
          <w:b/>
        </w:rPr>
        <w:t>E. 10.4</w:t>
      </w:r>
    </w:p>
    <w:p>
      <w:r>
        <w:t>Das Bundesverwaltungsgericht hat sich in BVGE 2017 VI/6 ebenfalls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(E. 2.5.2).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(E. 4.3.3). Auch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10.5</w:t>
      </w:r>
    </w:p>
    <w:p>
      <w:r>
        <w:t>Zusammenfassend ist festzuhalten, dass der Beschwerdeführer weder Vor- noch Nachfluchtgründe nachgewiesen oder zumindest glaubhaft gemacht hat. Das SEM hat ihm daher zu Recht die Flüchtlingseigenschaft nicht zuerkannt und sein zweites Asylgesuch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sinngemäss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wobei er auf das Urteil des EGMR X. gegen Schweiz Nr. 16744/14 vom 26. Januar 2017 hinweist. Deshalb sei die Unzulässigkeit des Wegweisungsvollzugs festzustellen. Ferner bestehe das Risiko von Behelligungen, Belästigungen und Misshandlungen durch Behörden oder durch paramilitärische Gruppierungen auch nach einer Einreise, weshalb der Wegweisungsvollzug vorliegend unzulässig sei.</w:t>
      </w:r>
    </w:p>
    <w:p>
      <w:r>
        <w:rPr>
          <w:b/>
        </w:rPr>
        <w:t>E. 12.3</w:t>
      </w:r>
    </w:p>
    <w:p>
      <w:r>
        <w:t>Die Vorinstanz hat mit zutreffender Begründung ausgeführt, dass der in Art. 5 AsylG verankerte Grundsatz der Nichtrückschiebung mangels Erfüllens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12.4</w:t>
      </w:r>
    </w:p>
    <w:p>
      <w:r>
        <w:t>Der bewaffnete Konflikt zwischen der sri-lankischen Regierung und den LTTE ist im Mai 2009 zu Ende gegangen. Aktuell herrscht in Sri Lanka auch unter Berücksichtigung der aktuellen Ereignisse (vgl. https://www.nzz.ch/international/regierungskrise-in-sri-lanka-praesident-legt-parlament-auf-eis-ld.1431684) weder Krieg noch eine Situation allgemeiner Gewalt. Das Bundesverwaltungsgericht ist nach einer eingehenden Analyse der sicherheitspolitischen Lage in Sri Lanka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 Der Beschwerdeführer stammt ursprünglich aus F._______ im Distrikt Jaffna in der Nordprovinz. Da sich seine individuelle Situation seit dem Abschluss des ordentlichen Asylverfahrens mangels derartiger Hinweise nicht verändert haben dürfte, kann vollumfänglich auf die diesbezüglichen Ausführungen im Urteil E-3896/2016 vom 19. April 2018 E. 8.3.3 verwiesen werden. Der Wegweisungsvollzug ist somit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auch sonst nicht zu beanstanden ist. Eine Auseinandersetzung mit den weiteren Beschwerdevorbringen und Dokumenten erübrigt sich. Die Beschwerde ist abzuweisen, soweit darauf einzutreten ist.</w:t>
      </w:r>
    </w:p>
    <w:p>
      <w:r>
        <w:rPr>
          <w:b/>
        </w:rPr>
        <w:t>E. 14</w:t>
      </w:r>
    </w:p>
    <w:p>
      <w:r>
        <w:t>Bei diesem Ausgang des Verfahrens sind die Kosten dem Beschwerdeführer aufzuerlegen (Art. 63 Abs. 1 VwVG). Sie sind aufgrund der sehr umfangreichen Beschwerde mit zahlreichen Beilagen (CD-ROM und Länderbericht des Rechtsvertreters) ohne individuellen Bezug zu ihm praxisgemäss auf insgesamt Fr. 1'300.- festzusetzen (Art. 1-3 des Reglements vom 21. Februar 2008 über die Kosten und Entschädigungen vor dem Bundesverwaltungsgericht [VGKE, SR 173.320.2]).</w:t>
      </w:r>
    </w:p>
    <w:p>
      <w:r>
        <w:rPr>
          <w:b/>
        </w:rPr>
        <w:t>E. 15</w:t>
      </w:r>
    </w:p>
    <w:p>
      <w:r>
        <w:t>Der Rechtsvertreter des Beschwerdeführers stellte in der vorliegenden Beschwerde vom 12. Oktober 2018 erneut Rechtsbegehren, über die bereits mehrfach entschieden worden ist (beispielsweise betreffend die Offenlegung der Quellen des Länderberichts des SEM vom 16. August 2016 zu Sri Lanka und die Bestätigung der Zufälligkeit beziehungsweise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