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E-5892/2022 vom 4. Januar 2023</w:t>
      </w:r>
    </w:p>
    <w:p>
      <w:r>
        <w:t>Bundesverwaltungsgericht, 2023-01-04, DE</w:t>
      </w:r>
    </w:p>
    <w:p>
      <w:r>
        <w:rPr>
          <w:b/>
        </w:rPr>
        <w:t xml:space="preserve">Quelle: </w:t>
      </w:r>
      <w:r>
        <w:t>https://mcp.opencaselaw.ch/entscheid/bvger_E-5892_2022</w:t>
      </w:r>
    </w:p>
    <w:p>
      <w:r>
        <w:t>FR: TAF E-5892/2022 du 4 janvier 2023</w:t>
      </w:r>
    </w:p>
    <w:p>
      <w:r>
        <w:t>IT: TAF E-5892/2022 del 4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Der Beschwerdeführer wurde am 7. Oktober 2022 in Kroatien daktyloskopisch erfasst, was sich unbenommen von seiner fehlenden Absicht dort ein Asylgesuch einzureichen, als zuständigkeitsbegründend erweist. Die Abnahme der Fingerabdrücke von illegal einreisenden ausländischen Personen und Asylsuchenden stützt sich auf Art. 14 Abs. 1 der Verordnung (EU) Nr. 603/2013 des Europäischen Parlaments und des Rats vom 26. Juni 2013 (Eurodac-Verordnung). Es steht dem Beschwerdeführer demnach nicht frei zu entscheiden, ob und wann seine Fingerabdrücke abgenommen und an die Eurodac-Datenbank übermittelt werden. Die kroatischen Behörden haben sodann der Wiederaufnahme des Beschwerdeführers gestützt auf Art. 18. Abs. 1 Bst. b Dublin-III-VO zugestimmt. Beim Vorbringen, die kroatischen Behörden seien ihrer Informationspflicht gemäss Art. 4 Dublin-III-VO nicht nachgekommen, handelt es sich um eine unbelegte Parteibehauptung. Ferner ist darauf hinzuweisen, dass die Informationen gemäss Art. 4 Dublin-III-VO auch anlässlich des persönlichen Gesprächs gemäss Art. 5 Dublin-III-VO vermittelt werden können. Durch seine Weiterreise in die Schweiz wenige Tage nach Erfassung der Fingerabdrücke in Kroatien hat sich der Beschwerdeführer aber einem dortigen Asylverfahren selbst entzogen. Das Vorgehen der kroatischen Behörden ist demnach nicht zu beanstanden. Die grundsätzliche Zuständigkeit Kroatiens für die Durchführung des Asyl- und Wegweisungsverfahrens ist gegeben.</w:t>
      </w:r>
    </w:p>
    <w:p>
      <w:r>
        <w:rPr>
          <w:b/>
        </w:rPr>
        <w:t>E. 3.4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des Zusatzprotokolls der FK vom 31. Januar 1967 (SR 0.142.301) sowie des Internationalen Übereinkommens zur Beseitigung jeglicher Form von Rassendiskriminierung vom 21. Dezember 1965 (SR 0.104)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w:t>
      </w:r>
    </w:p>
    <w:p>
      <w:r>
        <w:t>Gemäss Praxis des Bundesverwaltungsgerichts im Bereich der Wiederaufnahmeverfahren (Take-back-Verfahren) liegen zum heutigen Zeitpunkt keine konkreten Gründe für die Annahme vor, das Asylverfahren und die Aufnahmebedingungen für Antragstellende in Kroatien würden systemische Schwachstellen im Sinne von Art. 3 Abs. 2 zweiter und dritter Satz Dublin-III-VO aufweisen (vgl. Urteile des BVGer F-5582/2022 vom 13. Dezember 2022 E. 4.2; E-4341/2022 vom 8. Dezember 2022 E. 6.3 m.w.H.). Selbst unter Berücksichtigung der auf Beschwerdeebene eingereichten Berichte sowie der vom Beschwerdeführer geschilderten Erlebnisse mit Polizeibeamten während seines kurzen Aufenthaltes in Kroatien ist nicht davon auszugehen, Kroatien verstosse zum heutigen Zeitpunkt systematisch gegen seine vertraglichen Verpflichtungen als zuständiger Dublin-Mitgliedstaat im Falle einer Rücküberstellung von Asylsuchenden. Dass Polizei- und Sicherheitskräfte mit staatlicher Duldung oder gar Unterstützung systematisch Gewalt gegen Asylsuchende verüben, ergibt sich weder aus den einschlägigen Länderinformationen noch aus der Rechtsprechung anderer Dublin-Staaten oder des EGMR. Bei Fehlverhalten einzelner Beamter oder Privatpersonen kann sich der Beschwerdeführer mit Hilfe der vor Ort tätigen karitativen Organisationen an die zuständigen kroatischen Stellen wenden. Allein der Umstand, dass solche Schritte in Kroatien allenfalls mit grösseren Schwierigkeiten als in der Schweiz verbunden sind, vermag noch keine systemischen Schwachstellen im kroatischen Asyl- und Aufnahmeverfahren zu begründen.</w:t>
      </w:r>
    </w:p>
    <w:p>
      <w:r>
        <w:rPr>
          <w:b/>
        </w:rPr>
        <w:t>E. 4.3</w:t>
      </w:r>
    </w:p>
    <w:p>
      <w:r>
        <w:t>Soweit der Beschwerdeführer vorbringt, der Zugang zum Asylverfahren sei ihm verwehrt worden, ist festzustellen, dass er von den kroatischen Behörden daktyloskopisch erfasst und damit offenbar dazu angehalten wurde, sich ins kroatische Asylsystem zu begeben. Weitergehend ist auf die Ausführungen in E. 3.3. zu verweisen. Es ist mit Nachdruck darauf hinzuweisen, dass das Dublin-System auf klaren Zuständigkeitsregeln beruht und den Gesuchstellenden kein Recht einräumt, den ihren Antrag prüfenden Staat selbst auszuwählen (vgl. BVGE 2010/45 E. 8.3). Die Anwendung von Art. 3 Abs. 2 Dublin-III-VO ist folglich nicht gerechtfertigt. Der Eventualantrag auf Rückweisung der Sache an die Vorinstanz zu weiteren Abklärungen betreffend die Situation von Dublin-Rückkehrenden ist abzuweisen.</w:t>
      </w:r>
    </w:p>
    <w:p>
      <w:r>
        <w:rPr>
          <w:b/>
        </w:rPr>
        <w:t>E. 5</w:t>
      </w:r>
    </w:p>
    <w:p>
      <w:r>
        <w:t>Nachfolgend ist zu prüfen, ob das Selbsteintrittsrecht nach Art. 17 Abs. 1 Dublin-III-VO beziehungsweise Art. 29a Abs. 3 AsylV 1 auszuüben ist.</w:t>
      </w:r>
    </w:p>
    <w:p>
      <w:r>
        <w:rPr>
          <w:b/>
        </w:rPr>
        <w:t>E. 5.1</w:t>
      </w:r>
    </w:p>
    <w:p>
      <w:r>
        <w:t>Der Beschwerdeführer vermag nicht darzutun, dass die ihm bei einer Rückführung nach Kroatien zu erwartenden Bedingungen derart schlecht sind, dass sie zu einer Verletzung von Art. 3 EMRK führen könnten. Ferner hat er kein konkretes und ernsthaftes Risiko dargetan, die kroatischen Behörden würden sich weigern, seinen Antrag auf internationalen Schutz unter Einhaltung der Regeln der Verfahrensrichtlinie zu prüfen. Bei einer allfälligen vorübergehenden Einschränkung der ihm zustehenden Aufnahmebedingungen könnte er sich nötigenfalls an die kroatischen Behörden wenden und seine Rechte auf dem Rechtsweg einfordern (vgl. Art. 26 Aufnahmerichtlinie). Dies gilt auch in Bezug auf die geltend gemachte Gewalt und Misshandlung seitens der kroatischen Behörden.</w:t>
      </w:r>
    </w:p>
    <w:p>
      <w:r>
        <w:rPr>
          <w:b/>
        </w:rPr>
        <w:t>E. 5.2.1</w:t>
      </w:r>
    </w:p>
    <w:p>
      <w:r>
        <w:t>Bezüglich des Gesundheitszustands lässt sich einem medizinischen Datenblatt für interne Arztbesuche des Bundesasylzentrums (BAZ) C._______ vom 7. Dezember 2022 entnehmen, dass der Beschwerdeführer nach einem (...) an (...) leidet, welche (...) sind. Differentialdiagnostisch wurden (...) bei eventuell bestehender (...) festgehalten. Ein (...) ergab gemäss einer internen Aktennotiz vom 12. Dezember 2022 ein negatives Resultat.</w:t>
      </w:r>
    </w:p>
    <w:p>
      <w:r>
        <w:rPr>
          <w:b/>
        </w:rPr>
        <w:t>E. 5.2.2</w:t>
      </w:r>
    </w:p>
    <w:p>
      <w:r>
        <w:t>Die gesundheitlichen Beeinträchtigungen des Beschwerdeführers sind offensichtlich nicht derart gravierend, dass gestützt auf Art. 3 EMRK von einer Überstellung nach Kroatien abgesehen werden müsste (vgl. dazu Urteil des EGMR Paposhvili gegen Belgien 13. Dezember 2016, Grosse Kammer, 41738/10, §§ 180-193 m.w.H.). Im Übrigen verfügt Kroatien über eine ausreichende medizinische Infrastruktur und ist verpflichtet, den Antragstellern die erforderliche medizinische Versorgung zugänglich zu machen (vgl. Art. 19 Abs. 1 Aufnahmerichtlinie). Es liegen keine Hinweise vor, wonach Kroatien dem Beschwerdeführer eine adäquate Behandlung verweigern würde. Vor diesem Hintergrund war die Vorinstanz nicht gehalten, weitere Abklärungen zum Gesundheitszustand zu tätigen (vgl. dazu BGE 136 I 229 E. 5.3; 134 I 140 E. 5.3). Der entsprechende Eventualantrag auf Rückweisung der Sache an die Vorinstanz ist abzuweisen.</w:t>
      </w:r>
    </w:p>
    <w:p>
      <w:r>
        <w:rPr>
          <w:b/>
        </w:rPr>
        <w:t>E. 5.3</w:t>
      </w:r>
    </w:p>
    <w:p>
      <w:r>
        <w:t>Es sind weder völkerrechtliche Wegweisungsvollzugshindernisse, welche die Schweiz zum Selbsteintritt verpflichten würden, noch Rechtsfehler bei der Ermessensbetätigung ersichtlich. Damit liegt kein Grund für einen Selbsteintritt der Schweiz gemäss Art. 17 Dublin-III-VO beziehungsweise Art. 29a Abs. 3 AsylV 1 vor.</w:t>
      </w:r>
    </w:p>
    <w:p>
      <w:r>
        <w:rPr>
          <w:b/>
        </w:rPr>
        <w:t>E. 6</w:t>
      </w:r>
    </w:p>
    <w:p>
      <w:r>
        <w:t>Die Vorinstanz ist demnach zu Recht auf das Asylgesuch des Beschwerdeführers nicht eingetreten und hat die Wegweisung nach Kroatien angeordnet. Die Beschwerde ist abzuweisen.</w:t>
      </w:r>
    </w:p>
    <w:p>
      <w:r>
        <w:rPr>
          <w:b/>
        </w:rPr>
        <w:t>E. 7</w:t>
      </w:r>
    </w:p>
    <w:p>
      <w:r>
        <w:t>Mit dem vorliegenden Entscheid sind die Gesuche um Erteilung der aufschiebenden Wirkung und um Verzicht auf die Erhebung eines Kostenvorschusses gegenstandslos geworden.</w:t>
      </w:r>
    </w:p>
    <w:p>
      <w:r>
        <w:rPr>
          <w:b/>
        </w:rPr>
        <w:t>E. 8</w:t>
      </w:r>
    </w:p>
    <w:p>
      <w:r>
        <w:t>Das Gesuch um Gewährung der unentgeltlichen Prozessführung ist abzuweisen, da die Begehren - wie sich aus den vorstehenden Erwägungen ergibt - als aussichtslos zu bezeichnen sind (Art. 65 Abs. 1 VwVG).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