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E-588/2012 vom 23. Februar 2012</w:t>
      </w:r>
    </w:p>
    <w:p>
      <w:r>
        <w:t>Bundesverwaltungsgericht, 2012-02-23, DE</w:t>
      </w:r>
    </w:p>
    <w:p>
      <w:r>
        <w:rPr>
          <w:b/>
        </w:rPr>
        <w:t xml:space="preserve">Quelle: </w:t>
      </w:r>
      <w:r>
        <w:t>https://mcp.opencaselaw.ch/entscheid/bvger_E-588_2012</w:t>
      </w:r>
    </w:p>
    <w:p>
      <w:r>
        <w:t>FR: TAF E-588/2012 du 23 février 2012</w:t>
      </w:r>
    </w:p>
    <w:p>
      <w:r>
        <w:t>IT: TAF E-588/2012 del 23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in der Sache einzutreten.</w:t>
      </w:r>
    </w:p>
    <w:p>
      <w:r>
        <w:rPr>
          <w:b/>
        </w:rPr>
        <w:t>E. 1.2</w:t>
      </w:r>
    </w:p>
    <w:p>
      <w:r>
        <w:t>Soweit der Beschwerdeführer Anträge zum Verfahren stellt - Wiederherstellung der aufschiebenden Wirkung, vorsorgliche Anweisung der zuständigen Behörde, die Kontaktaufnahme mit den Behörden des Heimat- und Herkunftsstaats sowie jegliche Datenweitergabe an dieselben zu unterlassen sowie (eventualiter) bei bereits erfolgter Datenweitergabe darüber in einer separaten Verfügung informiert zu werden -, so ist die Beschwerde mangelhaft begründet (Art. 52 Abs. 1 VwVG). Der Beschwerdeführer liefert keine eigene Begründung, sondern bedient sich statt dessen eines vorgedruckten Formulars ohne Aussagekraft. Eine Rückweisung der Beschwerde zur Verbesserung des Mangels (Art. 52 Abs. 2 VwVG) kann indes unterbleiben, weil die verfahrensrechtlichen Anträge mit dem vorliegenden Endentscheid gegenstandslos werden.</w:t>
      </w:r>
    </w:p>
    <w:p>
      <w:r>
        <w:rPr>
          <w:b/>
        </w:rPr>
        <w:t>E. 2.1</w:t>
      </w:r>
    </w:p>
    <w:p>
      <w:r>
        <w:t>Mit der Beschwerde kann eine Verletzung von Bundesrecht, eine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 Die Vorinstanz hat den Massstab des Glaubhaftmachens nach Art. 7 AsylG auf den vorliegenden Fall korrekt angewendet. Sie begründet in der angefochtenen Verfügung einlässlich, weshalb erhebliche Zweifel an der Glaubhaftigkeit der Vorbringen des Beschwerdeführers bestehen, welche sie als zum Teil widersprüchlich, insgesamt vage und allgemein formuliert erachtet. Weiter hält sie fest, dass selbst wenn die Angaben des Beschwerdeführers stimmen sollten, diese nicht asylrelevant seien, da nicht erkennbar sei, dass eine gezielt gegen ihn gerichtete staatliche Verfolgung vorliege oder der Staat seinen Schutzpflichten nicht nachkommen würde. Der Beschwerdeführer setzt sich mit der vorinstanzlichen Beweiswürdigung kaum auseinander und zeigt nicht auf, inwiefern diese Bundesrecht verletzen oder zu einer fehlerhaften Sachverhaltsfeststellung führen soll. Solches ist auch nicht ersichtlich. So trifft zu, dass die vorinstanzlichen Ausführungen des Beschwerdeführers nur sehr oberflächlich bleiben und sich auf Allgemeingültiges beschränken. Seine Schilderungen weisen kaum Substanz auf und lassen Realkennzeichen weitgehend vermissen, weshalb an der Glaubhaftigkeit der Vorbringen insgesamt erhebliche Zweifel bestehen. Auch stellt die Vorinstanz zu Recht fest, dass selbst wenn das Haus ausgeraubt und verbrannt worden sein sollte, sich aus den Schilderungen des Beschwerdeführers keine gezielt gegen ihn gerichteten staatlichen Verfolgungsmassnahmen erkennen lassen, zumal der Beschwerdeführer nicht geltend macht, dass der Vorfall durch staatliche Funktionäre erfolgt ist. Sodann führt die Vorinstanz zutreffend aus, dass keine asylrelevante Verletzung der Schutzpflicht durch die tunesischen Behörden ersichtlich ist. Um Wiederholungen zu vermeiden, kann diesbezüglich vollumfänglich auf die Ausführungen der Vorinstanz in der angefochtenen Verfügung (E. 1 S. 3) verwiesen werden. Den Befürchtungen des Beschwerdeführers, zukünftig aufgrund seiner Mitgliedschaft bei der Partei von Ben Ali verfolgt zu werden, kann nicht gefolgt werden. Es bestehen keine Hinweise darauf, dass bestimmte Personengruppen (d.h. politische Partei, Gewerkschaften, religiöse oder ethische Gruppen) Verfolgungsmassnahmen oder einer konkreten Gefährdung ausgesetzt wären. In Übersteinstimmung mit der Vorinstanz ist deshalb anzunehmen, dass dem Beschwerdeführer als einfaches Mitglied der Partei von Ben Ali weder staatliche Verfolgung noch Racheakte seitens von Dritten drohen. Der Beschwerdeführer hat damit nichts vorgebracht, das geeignet wäre, die Flüchtlingseigenschaft nachzuweisen oder zumindest glaubhaft zu machen. Der angefochtene Entscheid ist im Asylpunkt zu bestätigen.</w:t>
      </w:r>
    </w:p>
    <w:p>
      <w:r>
        <w:rPr>
          <w:b/>
        </w:rPr>
        <w:t>E. 4</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Herkunftsstaat dort mit beachtlicher Wahrscheinlichkeit einer verbotenen Strafe oder Behandlung ausgesetzt wäre. Der Wegweisungsvollzug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 Rückkehr von Personen aus Tunesien ist - auch in Würdigung des erfolgten Machtwechsels und des beabsichtigten Wandels zu demokratischen Strukturen - zumutbar, da keine Situation allgemeiner Gewalt herrscht, aufgrund derer die Bevölkerung konkret gefährdet erscheint und eine Rückführung dorthin als generell unzumutbar erachtet werden müsste. Der Beschwerdeführer macht ohne nähere Begründung geltend, dass er an einer Magenkrankheit leide und einer regelmässigen medizinischen Betreuung bedürfe. Aufgrund seiner Mitgliedschaft bei der Partei von Ben Ali werde er keine Arbeitsstelle finden und keine Sozialhilfeleistungen erhalten, weshalb er sich die medizinische Behandlung nicht mehr werde leisten können. Dabei ist jedoch festzuhalten, dass der Beschwerdeführer selbst angibt, dass Behandlungsmöglichkeiten für die von ihm angegebenen Leiden in Tunesien bestehen (vgl. Beschwerdeschrift S. 6). Für die Behandlungskosten kann er zur Not auf seine im Heimatland lebenden Eltern und sonstigen Verwandten zurückgreifen. Der Beschwerdeführer verkennt die Tragweite seiner Mitwirkungspflicht (Art. 8 AsylG), wenn er vorbringt, das Bundesverwaltungsgericht könne, falls es Zweifel an seiner Erkrankung hege, seine Krankenakte konsultieren. Soweit darin ein Antrag zu erblicken wäre, ist von einer Konsultation in antizipierter Beweiswürdigung abzusehen, weil dem gesundheitlichen Leiden nach dem Gesagten ohnehin keine relevante Beweiskraft zukäme. Aus den Akten ergeben sich somit keine Hinweise darauf, dass der Vollzug der Wegweisung zu einer konkreten gesundheitlichen Gefährdung des Beschwerdeführers führen würde. Der Beschwerdeführer verfügt zweifelsohne über ein familiäres und soziales Netz, welches ihn bei seiner Rückkehr ins Heimatland unterstützen wird. Der Vollzug der Wegweisung des Beschwerdeführers ist damit zumutbar.</w:t>
      </w:r>
    </w:p>
    <w:p>
      <w:r>
        <w:rPr>
          <w:b/>
        </w:rPr>
        <w:t>E. 5.4</w:t>
      </w:r>
    </w:p>
    <w:p>
      <w:r>
        <w:t>Nach Art. 83 Abs. 2 AuG ist der Wegweisungsvollzug schliesslich auch als möglich zu bezeichnen, da es dem Beschwerdeführer obliegt, sich bei der zuständigen Vertretung des Heimatstaates die für eine Rückkehr notwendigen Reisedokumente zu beschaffen (vgl. Art. 8 Abs. 4 AsylG und dazu auch BVGE 2008/34 E. 12 S. 513 - 515).</w:t>
      </w:r>
    </w:p>
    <w:p>
      <w:r>
        <w:rPr>
          <w:b/>
        </w:rPr>
        <w:t>E. 5.5</w:t>
      </w:r>
    </w:p>
    <w:p>
      <w:r>
        <w:t>Die Vorinstanz hat den Wegweisungsvollzug zusammenfassend zu Recht als zulässig, zumutbar und möglich erachtet, weshalb die Anordnung der vorläufigen Aufnahme ausser Betracht fällt.</w:t>
      </w:r>
    </w:p>
    <w:p>
      <w:r>
        <w:rPr>
          <w:b/>
        </w:rPr>
        <w:t>E. 6</w:t>
      </w:r>
    </w:p>
    <w:p>
      <w:r>
        <w:t>Nach dem Gesagten ergibt sich, dass die angefochtene Verfügung Bundesrecht nicht verletzt, den rechtserheblichen Sachverhalt richtig und vollständig feststellt und angemessen ist (Art. 106 Abs. 1 AsylG). Die Beschwerde ist abzuweisen.</w:t>
      </w:r>
    </w:p>
    <w:p>
      <w:r>
        <w:rPr>
          <w:b/>
        </w:rPr>
        <w:t>E. 7</w:t>
      </w:r>
    </w:p>
    <w:p>
      <w:r>
        <w:t>Dem Ersuchen des Beschwerdeführers um Gewährung der unentgeltlichen Rechtspflege kann nicht entsprochen werden, weil sein Begehren als aussichtslos zu gelten hat (Art. 65 Abs. 1 VwVG). Der Beschwerdeführer hat daher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