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E-5889/2016 vom 11. Oktober 2016</w:t>
      </w:r>
    </w:p>
    <w:p>
      <w:r>
        <w:t>Bundesverwaltungsgericht, 2016-10-11, DE</w:t>
      </w:r>
    </w:p>
    <w:p>
      <w:r>
        <w:rPr>
          <w:b/>
        </w:rPr>
        <w:t xml:space="preserve">Quelle: </w:t>
      </w:r>
      <w:r>
        <w:t>https://mcp.opencaselaw.ch/entscheid/bvger_E-5889_2016</w:t>
      </w:r>
    </w:p>
    <w:p>
      <w:r>
        <w:t>FR: TAF E-5889/2016 du 11 octobre 2016</w:t>
      </w:r>
    </w:p>
    <w:p>
      <w:r>
        <w:t>IT: TAF E-5889/2016 del 11 ottobre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Vorweg ist festzuhalten, dass das Eventualbegehren der Rückweisung der Sache an die Vorinstanz zur Neubeurteilung nicht begründet wurde, weshalb von einer Behandlung desselben abzusehen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hat die Asylvorbringen des Beschwerdeführers als unglaubhaft qualifiziert (Art. 7 AsylG). Den vorinstanzlichen Erwägungen ist voll und ganz zuzustimmen. Zur Vermeidung von Wiederholungen kann an dieser Stelle vollumfänglich auf die entsprechenden ausführlichen Erwägungen der angefochtenen Verfügung verwiesen werden, welche nicht zu beanstanden sind. Insbesondere erscheint realitätsfremd, dass in Krisenzeiten der kurdische Sicherheitsdienst sich bemühen sollte, jemanden wie den politisch inaktiven Beschwerdeführer lediglich aufgrund einer einmaligen, doch eher banalen Aussage und Geste (er werde sich den Finger abschneiden, wenn er weiterhin abstimmen gehen müsse), mit welcher er seinen politischen Unmut unter Freunden kundgetan habe, über ein Jahr auf die beschriebene Weise telefonisch zu bedrohen. Auch ist den Protokollaussagen des Beschwerdeführers nicht zu entnehmen, dass sein Vater eine wichtige Funktion in der Al-Parti-Partei innegehabt habe, die bei dessen Parteiaustritt asylrelevante Nachteile im Sinne von Art. 3 AsylG für den Beschwerdeführer nach sich gezogen hätte. Selbst bei Annahme der Glaubhaftigkeit dieser Verfolgungsmassnahme, wäre diese nicht als im Sinne von Art. 3 AsylG genügend intensiv zu erachten.</w:t>
      </w:r>
    </w:p>
    <w:p>
      <w:r>
        <w:rPr>
          <w:b/>
        </w:rPr>
        <w:t>E. 6.2</w:t>
      </w:r>
    </w:p>
    <w:p>
      <w:r>
        <w:t>Die eingereichten Dokumente sprechen ebenfalls nicht für die Glaubhaftigkeit der Vorbringen beziehungsweise die Glaubwürdigkeit des Beschwerdeführers: Beim Nationalitätenausweis sowie der Identitätskarte handle es sich gemäss einer Ausweisprüfung des SEM um eine Totalfälschung. Des Weiteren lässt sich weder aus diesen noch aus der vorliegenden Kopie des Todesscheins des beim Anschlag umgekommenen Bruders oder des Ausweises des Vaters beziehungsweise des weiteren fremdsprachigen Dokuments den Beschwerdeführer betreffend ein Hinweis auf eine Verfolgung des Beschwerdeführers herleiten.</w:t>
      </w:r>
    </w:p>
    <w:p>
      <w:r>
        <w:rPr>
          <w:b/>
        </w:rPr>
        <w:t>E. 6.3</w:t>
      </w:r>
    </w:p>
    <w:p>
      <w:r>
        <w:t>Gemäss den Übersetzungen des auf Beschwerdestufe eingereichten Beweismittels handelt es sich um eine Mitteilung des Berufungsgerichts in Kirkuk an alle Polizeistationen und Checkpoints, dass am (...) 2016 das Strafgericht in Kirkuk einen Haftbefehl gegen A._______ erlassen habe, weil er polizeilich gesucht sei. Gegen die Authentizität dieses Dokuments spricht zunächst, dass die Mitteilung, dass das Strafgericht einen Haftbefehl erlassen habe, vom Berufungsgericht - als mutmasslich höhere Instanz - publiziert worden sein soll. Auffallend ist zudem das Datum des Dokuments: Nicht nur ist es (...) Tage nach dem vorinstanzlichen Asylentscheid erlassen worden und scheint somit als nachgeschoben und damit als unglaubhaft. Auch ist ein derartiges Verfolgungsinteresse des Sicherheitsdienstes - (...) Jahre nach der angeblichen Kritik an der kurdischen Politik - nicht nachvollziehbar. Schliesslich liegt kein Original des Dokuments vor, weshalb eh von einem geringeren Beweiswert auszugehen ist.</w:t>
      </w:r>
    </w:p>
    <w:p>
      <w:r>
        <w:rPr>
          <w:b/>
        </w:rPr>
        <w:t>E. 6.4</w:t>
      </w:r>
    </w:p>
    <w:p>
      <w:r>
        <w:t>Im Rahmen einer Gesamtwürdigung gelangt das Bundesverwaltungsgericht somit zum Schluss, dass die Vorbringen des Beschwerdeführers den Anforderungen an die Glaubhaftigkeit gemäss Art. 7 AsylG nicht genügen. Die Vorinstanz hat das Asylgesuch des Beschwerdeführers daher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8.2.3</w:t>
      </w:r>
    </w:p>
    <w:p>
      <w:r>
        <w:t>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Auch die allgemeine Menschenrechtssituation in der Autonomen Region Kurdistan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hat in seinem Referenzurteil E-3737/2015 vom 14. Dezember 2015 zwar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hätten. Dennoch hat das Gericht nach einer Gesamtbetrachtung der Lage festgehalten, dass in den vier Provinzen der Autonomen Region Kurdistan (Dohuk, Erbil, Sulaimaniyya und Halabdscha) nicht von einer Situation allgemeiner Gewalt im Sinne von Art. 83 Abs. 4 AuG auszugehen sei und keine konkreten Anhaltspunkte für die Annahme vorliegen würden, dies werde sich in absehbarer Zeit massgeblich ändern (vgl. ebenda E. 7.4.5). Das Gericht bezog sich dabei zwar explizit auf Kurden, welche auch aus dieser Region stammen. Da vorliegend jedoch nicht mit überwiegender Wahrscheinlichkeit - insbesondere aufgrund der gefälschten Identitätspapiere des Beschwerdeführers - davon ausgegangen werden kann, dass der Beschwerdeführer aus Kirkuk stammt, ist die erwähnte Rechtsprechung auch auf den Beschwerdeführer anwendbar, zumal er über mehrere Verwandte verfügt, welche in der Autonomen Region Kurdistan leben und arbeiten.</w:t>
      </w:r>
    </w:p>
    <w:p>
      <w:r>
        <w:rPr>
          <w:b/>
        </w:rPr>
        <w:t>E. 8.3.2</w:t>
      </w:r>
    </w:p>
    <w:p>
      <w:r>
        <w:t>Die Eltern des Beschwerdeführers leben, gemäss dessen Aussagen, in Kirkuk (A7 S. 4; A14 F. 10 ff.) und würden Renten beziehen (A14 F. 23). Von den Geschwistern würden der Bruder E._______ (Provinz Erbil) und die verheirateten Schwestern G._______ (Provinz Erbil) und D._______ (Provinz Sulaimaniyya) in der Autonomen Region Kurdistan wohnen (A14 F. 13). Die Grossmutter mütterlicherseits lebe ebenfalls in Erbil (A14 F. 18 ff.). Auch angesichts der kulturellen Begebenheiten im Irak dürfte es für den Beschwerdeführer ein Leichtes sein, den Kontakt zu diesen Verwandten wieder herzustellen, zumal die Mutter des Beschwerdeführers bereits die Möglichkeit eines Wohnsitzwechsels nach Kurdistan in Betracht gezogen hatte (A14 F. 17, 92 und 128). Ferner habe er schon mehrere Reisen dorthin unternommen (A14 F. 31, 48 ff. und 123 ff.). Das Bundesverwaltungsgericht geht somit davon aus, dass er in der Autonomen Region Kurdistan über ein soziales Beziehungsnetz verfügt. Die individuelle Situation des Beschwerdeführers lässt damit den Wegweisungsvollzug in den Nordirak nicht als unzumutbar erscheinen. Es handelt sich bei ihm zudem um einen noch jungen und gesunden Mann, bei welchem davon auszugehen ist - selbst wenn er unter Vergesslichkeit leiden sollte -, dass er in der Lage sein wird, sich den Lebensunterhalt selbständig zu verdienen. Im Übrigen ist darauf hinzuweisen, dass - entgegen dem Vorbehalt des Beschwerdeführers - die Autonome Region Kurdistan immer noch ein Teil des Territoriums der Republik Iraks ist.</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beantragte in seiner Beschwerde die unentgeltliche Prozessführung (Art. 65 Abs. 1 VwVG). Wie sich aus der Urteilsbegründung ergibt, erscheinen die gestellten Beschwerdebegehren - bereits zum Zeitpunkt der Einreichung der Beschwerde - als aussichtslos. Die materiellen Voraussetzungen der unentgeltlichen Prozessführung im Sinne von Art. 65 Abs. 1 VwVG sind daher nicht erfüllt. Das entsprechende Gesuch ist folglich abzuweisen. Der Antrag auf Verzicht eines Kostenvorschusses wird mit Vorliegen dieses Urteils gegenstandslos.</w:t>
      </w:r>
    </w:p>
    <w:p>
      <w:r>
        <w:rPr>
          <w:b/>
        </w:rPr>
        <w:t>E. 10.2</w:t>
      </w:r>
    </w:p>
    <w:p>
      <w:r>
        <w:t>Das Gesuch um amtliche Rechtsverbeiständung im Sinne von Art. 110a Abs. 1 AsylG ist mangels Erfüllens der Voraussetzungen von Art. 65 Abs. 1 VwVG ebenfalls abzuweisen.</w:t>
      </w:r>
    </w:p>
    <w:p>
      <w:r>
        <w:rPr>
          <w:b/>
        </w:rPr>
        <w:t>E. 10.3</w:t>
      </w:r>
    </w:p>
    <w:p>
      <w:r>
        <w:t>Bei diesem Ausgang des Verfahrens sind die Kosten dem Beschwerdeführer aufzuerlegen (Art. 63 Abs. 1 VwVG) und auf insgesamt Fr. 600.-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