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E-5888/2017 vom 30. Oktober 2017</w:t>
      </w:r>
    </w:p>
    <w:p>
      <w:r>
        <w:t>Bundesverwaltungsgericht, 2017-10-30, FR</w:t>
      </w:r>
    </w:p>
    <w:p>
      <w:r>
        <w:rPr>
          <w:b/>
        </w:rPr>
        <w:t xml:space="preserve">Quelle: </w:t>
      </w:r>
      <w:r>
        <w:t>https://mcp.opencaselaw.ch/entscheid/bvger_E-5888_2017</w:t>
      </w:r>
    </w:p>
    <w:p>
      <w:r>
        <w:t>FR: TAF E-5888/2017 du 30 octobre 2017</w:t>
      </w:r>
    </w:p>
    <w:p>
      <w:r>
        <w:t>IT: TAF E-5888/2017 del 30 ottobre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déclaré avoir quitté l'Algérie par crainte d'être emprisonné en raison de ses activités politiques au sein du Mouvement pour la jeunesse et le changement. Selon le SEM, ses déclarations manquent de crédibilité.</w:t>
      </w:r>
    </w:p>
    <w:p>
      <w:r>
        <w:rPr>
          <w:b/>
        </w:rPr>
        <w:t>E. 3.2</w:t>
      </w:r>
    </w:p>
    <w:p>
      <w:r>
        <w:t>Le Tribunal observe que les propos de l'intéressé sont effectivement parfois entachés d'imprécisions voire de contradictions. Le recourant indique ainsi deux dates différentes de la dernière manifestation à laquelle il dit avoir participé ; il ne parvient pas à se souvenir exactement combien de jours il avait passé en détention. Il n'arrive pas non plus à décrire correctement l'emblème du MJC ni à indiquer la date de sa fondation. Sur ce point, ses allégations manquent effectivement de crédibilité.</w:t>
      </w:r>
    </w:p>
    <w:p>
      <w:r>
        <w:rPr>
          <w:b/>
        </w:rPr>
        <w:t>E. 3.3</w:t>
      </w:r>
    </w:p>
    <w:p>
      <w:r>
        <w:t>Contrairement toutefois à l'avis du SEM, le recourant est assez précis en ce qui concerne le programme politique du MJC et parvient à citer les noms de principaux activistes de ce mouvement. Dans ces circonstances, le Tribunal estime qu'il n'y a pas lieu d'exclure complétement que le recourant ait été lié, d'une manière ou d'une autre, au Mouvement pour la jeunesse et le changement. Il n'est pas non plus à écarter qu'il ait participé à des manifestations organisées par ce mouvement. Contrairement toutefois à ce qu'il affirme, l'intensité de son engagement n'apparaît pas de nature à le placer dans le collimateur des autorités algériennes. Le recourant n'avait en effet aucun rôle du premier rang au sein du parti ; selon ses propres affirmations, ses activités se limitaient à parler aux gens de son âge, aux « (...) jeunes, dans les cafés, dans les stades, aux étudiants» pour les convaincre de la nécessité d'un changement politique au pays. Il s'agissait donc plutôt de discussions dans un cadre privé, à l'occasion de rencontres à caractère non officiel. Il en va de même de la participation de l'intéressé aux manifestations pendant lesquelles, il n'était qu'un simple participant comme les autres et n'exerçait pas de fonction spéciale. Dans ces circonstances, force est de constater que l'engagement de l'intéressé auprès du MJC n'avait pas une intensité caractérisant un activiste politique du premier rang, pouvant attirer l'attention des dirigeants sur sa personne. Certes, le recourant a déclaré avoir été arrêté lors de la manifestation ayant eu lieu en (...). Comme déjà dit, l'existence de cet épisode est toutefois sujette à caution, l'intéressé ayant indiqué des dates différentes de la manifestation et n'ayant pas été stable sur la durée de sa détention. Mis à part toutefois la question de la crédibilité de cet évènement, rien ne permet d'affirmer qu'en l'espèce il s'agissait d'une privation de liberté en raison des opinions politiques de l'intéressé. En effet, lui-même avait affirmé que les manifestations auxquelles il avait participé dégénéraient en affrontements violents avec des forces de l'ordre et que c'est dans ce cadre qu'il avait été arrêté. D'ailleurs, il l'avait indiqué que le chef d'accusation portait sur « l'atteinte à la sécurité » (Q52). En conséquence, force est de constater que la poursuite engagée contre l'intéressé, à supposer qu'elle soit avérée, tendait à réprimer son comportement en tant que manifestant lors d'affrontements avec la police. Comme le recourant l'a lui-même affirmé, il avait participé à de diverses manifestations depuis (...) et lorsqu'elles se déroulaient de manière pacifique, les autorités ne réprimaient aucunement les participants. La distinction doit, en effet, être faite ici entre les poursuites pour des opinions politiques et celles qui ont pour but de réprimer des comportements violents des manifestants. Il ressort clairement du dossier qu'en l'espèce, il s'agissait uniquement de veiller à la sécurité publique et non pas de poursuivre les manifestants pour leur convictions. Quant à la convocation à comparaitre devant un tribunal à B._______, le recourant affirme qu'elle lui a été adressée dans ce même contexte de poursuites pour atteinte à l'ordre public. Il s'agit d'un document revêtu d'un timbre rouge qui porte une signature au stylo bleu. Les données variables, (date d'émission de la pièce ainsi que la date de comparution devant le tribunal) sont en revanche pré-imprimées. Ce dernier élément jette un sérieux doute sur l'authenticité de cette pièce, ce type de données étant en général complété par des inscriptions à la main. Qui plus est, le recourant n'y est identifié que par son nom et son prénom ; le document ne contient aucune mention de son adresse ou de sa date de naissance, ce qui n'est pas habituel pour ce type de pièces. Dans ces circonstances, le document fourni ne peut pas être tenu pour authentique et sa production met également sérieusement en doute les propos de l'intéressé concernant sa prétendue mise en détention par la police.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en Algérie, à des traitements prohibés par l'art. 3 CEDH.</w:t>
      </w:r>
    </w:p>
    <w:p>
      <w:r>
        <w:rPr>
          <w:b/>
        </w:rPr>
        <w:t>E. 6.6</w:t>
      </w:r>
    </w:p>
    <w:p>
      <w:r>
        <w:t>Dès lors, l'exécution de son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7.2</w:t>
      </w:r>
    </w:p>
    <w:p>
      <w:r>
        <w:t>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Le recourant déclare encore que son état de santé s'oppose à son renvoi en Algérie. Selon l'attestation médicale jointe au recours, il souffre de maladie (...). Il s'agit d'une maladie inflammatoire intestinale diagnostiquée, en (...), en Algérie, suite à une colonoscopie. Le médecin constate qu'un suivi médical tous les 6 mois est suffisant et la symptomatologie reste stable.</w:t>
      </w:r>
    </w:p>
    <w:p>
      <w:r>
        <w:rPr>
          <w:b/>
        </w:rPr>
        <w:t>E. 7.3.1</w:t>
      </w:r>
    </w:p>
    <w:p>
      <w:r>
        <w:t>Sur ce point, 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La CourEDH a toutefois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La Cour a cependant également rappelé que ces cas correspondent à un seuil élevé pour l'application de l'art. 3 CEDH, dans les affaires liées à l'éloignement d'étrangers gravement malades.</w:t>
      </w:r>
    </w:p>
    <w:p>
      <w:r>
        <w:rPr>
          <w:b/>
        </w:rPr>
        <w:t>E. 7.3.2</w:t>
      </w:r>
    </w:p>
    <w:p>
      <w:r>
        <w:t>En l'espèce, sans minimiser l'affection dont l'intéressé souffre, il n'y a pas lieu de retenir que son état est grave au point de constituer une menace pour sa vie au sens de la jurisprudence précitée après son retour en Algérie. Le recourant n'est actuellement sous aucun traitement médical en Suisse et seul un suivi médical est préconisé. Il pourra donc consulter un médecin en Algérie, pays dans lequel sa maladie a d'ailleurs été diagnostiquée.</w:t>
      </w:r>
    </w:p>
    <w:p>
      <w:r>
        <w:rPr>
          <w:b/>
        </w:rPr>
        <w:t>E. 7.4</w:t>
      </w:r>
    </w:p>
    <w:p>
      <w:r>
        <w:t>En outre, il ne ressort du dossier aucun élément dont on pourrait inférer que l'exécution du renvoi impliquerait une mise en danger concrète du recourant.</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11</w:t>
      </w:r>
    </w:p>
    <w:p>
      <w:r>
        <w:t>Dans la mesure où il a été immédiatement statué sur le fond, la requête tendant à la dispense du paiement d'avance des frais de procédure est sans objet.</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