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E-5885/2018 vom 24. August 2020</w:t>
      </w:r>
    </w:p>
    <w:p>
      <w:r>
        <w:t>Bundesverwaltungsgericht, 2020-08-24, FR</w:t>
      </w:r>
    </w:p>
    <w:p>
      <w:r>
        <w:rPr>
          <w:b/>
        </w:rPr>
        <w:t xml:space="preserve">Quelle: </w:t>
      </w:r>
      <w:r>
        <w:t>https://mcp.opencaselaw.ch/entscheid/bvger_E-5885_2018</w:t>
      </w:r>
    </w:p>
    <w:p>
      <w:r>
        <w:t>FR: TAF E-5885/2018 du 24 août 2020</w:t>
      </w:r>
    </w:p>
    <w:p>
      <w:r>
        <w:t>IT: TAF E-5885/2018 del 24 agosto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 recourant a qualité pour recourir ; présenté dans la forme et dans le délai prescrits par la loi, le recours est recevable (art. 48 et 52 PA et anc. art. 108 al. 1 LAsi).</w:t>
      </w:r>
    </w:p>
    <w:p>
      <w:r>
        <w:rPr>
          <w:b/>
        </w:rPr>
        <w:t>E. 2</w:t>
      </w:r>
    </w:p>
    <w:p>
      <w:r>
        <w:t>Le Tribunal applique le droit d'office sans être lié par les motifs invoqués (art. 62 al. 4 PA) ou par l'argumentation juridique développée dans la décision entreprise (cf. MOOR/POLTIER, Droit administratif, vol. II, 3e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4.1</w:t>
      </w:r>
    </w:p>
    <w:p>
      <w:r>
        <w:t>Force est d'abord de constater que tous les événements survenus antérieurement à l'arrestation du recourant en date du 10 juillet 2015, en particulier sa participation à la guerre civile aux côtés des LTTE et son séjour de deux ans dans des camps de réhabilitation ne sauraient être mis en lien avec son départ du Sri Lanka, faute de rapport de causalité temporel (cf. ATAF 2011/50 consid. 3.1.2.1). Les moyens de preuve produits en lien avec ces événements, à savoir l'attestation de « détention » du CICR, l'attestation de réhabilitation et le certificat de réintégration (cf. let. B.) ne sont dès lors pas déterminants pour l'examen des motifs d'asile antérieurs à son départ.</w:t>
      </w:r>
    </w:p>
    <w:p>
      <w:r>
        <w:rPr>
          <w:b/>
        </w:rPr>
        <w:t>E. 4.2</w:t>
      </w:r>
    </w:p>
    <w:p>
      <w:r>
        <w:t>Cela étant, l'intéressé n'a pas été en mesure de faire apparaître le bien-fondé et le sérieux des motifs l'ayant poussé à quitter son pays en juillet 2015.</w:t>
      </w:r>
    </w:p>
    <w:p>
      <w:r>
        <w:rPr>
          <w:b/>
        </w:rPr>
        <w:t>E. 4.2.1</w:t>
      </w:r>
    </w:p>
    <w:p>
      <w:r>
        <w:t>Il est d'abord constaté que les raisons de son départ du Sri Lanka diffèrent d'une audition à l'autre. Lors de sa première audition, il a ainsi soutenu avoir quitté son pays, parce qu'il était las de ne pas être libre de ses mouvements, de ne pas pouvoir travailler ainsi que d'être obligé de se rendre au bureau des CID tous les jours pour attester sa présence (cf. procès- verbal [ci-après : p-v] d'audition du 4 novembre 2015, pt. 7.01). Auditionné un an plus tard, il a cependant expliqué que c'était suite à l'avertissement d'un CID qu'il avait pris la décision de quitter son pays le 15 juillet 2015 (cf. p-v d'audition du 8 septembre 2016, R 155). Bien que cette contradiction ait été relevée dans la décision attaquée, le recourant n'a fourni aucune explication sur ce point dans le cadre de la procédure de recours. Ce silence et le fait qu'il n'a donné aucune information circonstanciée et cohérente à ce sujet tendent à prouver l'inexactitude de cet événement. Par ailleurs, si le recourant a certes affirmé qu'il entretenait une relation amicale avec le CID chargé de l'escorter quotidiennement à l'endroit où il devait signer le registre, il n'a toutefois pas su rapporter de manière cohérente le sujet de leurs conversations. Il a ainsi d'abord affirmé s'être rendu quotidiennement, entre le 20 et 25 juillet 2015, au camp de H._______ afin d'attester sa présence par sa signature (cf. p-v d'audition du 8 septembre 2016, R 79, 84, 104 et 168), puis il a soutenu qu'à ces occasions, ledit CID lui avait demandé « comment se passaient ses interrogatoires » (cf. ibidem, R 190). Cela étant, à aucun moment, le recourant n'a mentionné avoir été interrogé lorsqu'il se présentait pour signer le registre. Questionné sur cette incohérence, l'intéressé ne convainc pas ; l'explication selon laquelle ledit CID aurait eu de la sympathie pour lui n'explique en effet pas encore pour quelles raisons il lui aurait posé des questions à ce propos (cf. ibidem, R 190 s.). De même, appelé à retranscrire précisément leur conversation du 25 juillet 2015, l'intéressé est resté très succinct, indiquant qu'il lui avait dit que c'était dangereux et qu'il lui avait conseillé de fuir (cf. p-v d'audition du 8 septembre 2016, R 186 ss). Il n'a du reste pas mentionné que celui-ci lui aurait donné le numéro d'un passeur. Or, interrogé un peu plus tôt sur l'organisation de son départ, le recourant avait indiqué avoir obtenu le numéro de son passeur par celui-ci (cf. ibidem, R 126 et 186 s.). S'agissant cependant d'une personne qu'il connaissait et à laquelle il faisait suffisamment confiance pour l'aider à fuir le pays - alors même qu'elle travaillait pour ses persécuteurs -, il pouvait être attendu de lui qu'il fournisse spontanément plus d'informations à son sujet, comme son nom ou une description physique, ainsi que sur le contenu de leur conversation. Partant, le manque de détails au sujet de sa détention ainsi que du CID l'ayant aidé à fuir est de nature à entacher fortement la vraisemblance de ses propos, dans la mesure où elle porte sur les éléments l'ayant prétendument amené à quitter son pays.</w:t>
      </w:r>
    </w:p>
    <w:p>
      <w:r>
        <w:rPr>
          <w:b/>
        </w:rPr>
        <w:t>E. 4.2.2</w:t>
      </w:r>
    </w:p>
    <w:p>
      <w:r>
        <w:t>Il n'a ensuite pas réussi à rendre vraisemblables ni son arrestation en date du 10 juillet 2015 ni sa détention subséquente. Le récit de son arrestation est en effet confus et contradictoire. Il a ainsi successivement affirmé qu'il avait été arrêté le 10 juillet 2015 et interrogé le jour-même pendant environ deux heures, avant d'être enfermé dans une pièce pendant 10 jours (cf. p-v d'audition du 8 septembre 2016, R 73 s.), puis qu'il avait seulement été interrogé le lendemain ainsi que le surlendemain de son arrestation (cf. ibidem, R 162 à 168). Par ailleurs, invité à plusieurs reprises à préciser cet événement, ses déclarations sont demeurées dans l'ensemble plutôt générales. Ainsi, son récit ne contient ni description de ses interlocuteurs et bourreaux, le recourant utilisant toujours le pronom indéfini « ils » pour les décrire, ni de ses impressions personnelles, ni encore de la pièce où il aurait été interrogé et battu pendant dix jours (p-v d'audition du 8 septembre 2016, R 164, 166 et 168). Enfin et surtout, il n'est pas logique qu'il ait été arrêté en juillet 2015 pour être interrogé sur son frère disparu en 2008, alors même qu'il n'avait jamais été auditionné à ce sujet auparavant et, notamment, lors de son interrogatoire au camp de E._______ en 2009 (cf. p-v d'audition du 8 septembre 2016, R 73 s., 168, 178 s. et 181) ; le recourant ne l'a du reste pas expliqué (cf. ibidem, R 178 s. et 181). De même, si les autorités nourrissaient réellement des soupçons concernant sa participation à l'enterrement des armes des LTTE, elles n'auraient pas validé sa sortie du camp de réhabilitation en 2011 après l'avoir interrogé sur le sujet et, encore moins, ne l'auraient relâché le 20 juillet 2015, sans qu'aucune procédure ne soit ouverte contre lui (cf. ibidem, R 73).</w:t>
      </w:r>
    </w:p>
    <w:p>
      <w:r>
        <w:rPr>
          <w:b/>
        </w:rPr>
        <w:t>E. 4.3.1</w:t>
      </w:r>
    </w:p>
    <w:p>
      <w:r>
        <w:t>S'agissant des pièces produites par l'intéressé, elles ne sont pas davantage de nature à étayer ses dires. Ainsi, les témoignages d'un membre du parlement local du 16 septembre 2018 ainsi que celui de l'officier du village du 10 décembre 2018, attestant ses problèmes rencontrés au Sri Lanka ainsi que le fait qu'il serait recherché par la police, ont été rédigés à la demande de sa mère et n'engagent dès lors que leurs auteurs, de sorte que leur valeur probante est quasiment nulle. De même, les documents déposés dans le but de prouver l'agression de son frère - à savoir les photos de celui-ci blessé et le certificat médical du 25 juillet 2018 par lequel le chirurgien en charge a requis des examens radiographiques - ne permettent pas de prouver qu'il aurait été agressé par les CID, ni qu'il l'aurait été en raison du départ du recourant.</w:t>
      </w:r>
    </w:p>
    <w:p>
      <w:r>
        <w:rPr>
          <w:b/>
        </w:rPr>
        <w:t>E. 4.3.2</w:t>
      </w:r>
    </w:p>
    <w:p>
      <w:r>
        <w:t>S'agissant encore des trois convocations du CID émises les 2 août 2015, 3 février 2017 et 12 mars 2018, leurs contenus ne corroborent pas les déclarations du recourant. Si celui-ci a déclaré lors de son audition du 8 septembre 2016 que les CID se seraient rendus à son domicile les 30 juillet 2015 et 5 septembre 2016, les convocations déposées à l'appui de son recours indiquent cependant d'autres dates, à savoir les 2 août 2015 et 3 février 2017 (cf. p-v d'audition du 8 septembre 2016, R 155 s. et mémoire de recours, p. 12). De même, dans le cadre de sa réplique du 26 novembre 2018, l'intéressé a déclaré que sa famille se rappelait avoir reçu une troisième convocation émise au mois de février 2018. Or, la convocation intitulée « final warning » qu'il a déposée pour appuyer cette allégation, par courrier du 21 décembre suivant, est datée du 12 mars 2018. Par ailleurs, dans la convocation du 3 février 2017 intitulée « final invitation for inquiry », il est mentionné que de nombreuses invitations lui auraient été envoyées et que des visites auraient été effectuées à son domicile (cf. annexe du recours). Cela étant, le recourant n'a invoqué qu'une visite antérieure à cette invitation.</w:t>
      </w:r>
    </w:p>
    <w:p>
      <w:r>
        <w:rPr>
          <w:b/>
        </w:rPr>
        <w:t>E. 4.3.3</w:t>
      </w:r>
    </w:p>
    <w:p>
      <w:r>
        <w:t>Cela dit et indépendamment de l'authenticité de ces pièces, il doit être relevé que les trois visites effectuées par le CID depuis le départ du recourant du pays sont étalées sur trois ans, de sorte qu'elles ne permettent pas de retenir que le recourant est particulièrement recherché par les autorités de son pays. Il ne ressort pas non plus des convocations produites que les visites des autorités au domicile de sa famille aient eu un autre but que celui de procéder à un contrôle ainsi que de l'interroger sur le manquement à son obligation de se présenter au bureau des CID. Elles ne permettent dès lors pas d'établir la portée de son récit, à savoir qu'il est recherché par les autorités en raison de la disparition de son frère et de sa prétendue connaissance de l'emplacement des armes des LTTE.</w:t>
      </w:r>
    </w:p>
    <w:p>
      <w:r>
        <w:rPr>
          <w:b/>
        </w:rPr>
        <w:t>E. 4.4</w:t>
      </w:r>
    </w:p>
    <w:p>
      <w:r>
        <w:t>Compte tenu de ce qui précède, le recourant n'a pas rendu vraisemblable, au sens de l'art. 7 LAsi, qu'il était exposé à de sérieux préjudices par les autorités avant son départ du Sri Lanka, de sorte que le recours doit être rejeté en tant qu'il conteste le refus d'octroi de l'asile.</w:t>
      </w:r>
    </w:p>
    <w:p>
      <w:r>
        <w:rPr>
          <w:b/>
        </w:rPr>
        <w:t>E. 5.1</w:t>
      </w:r>
    </w:p>
    <w:p>
      <w:r>
        <w:t>Le recourant fait encore valoir qu'indépendamment des préjudices déjà subis dans son pays d'origine, il a une crainte objectivement fondée de subir une persécution au sens de la loi sur l'asile en cas de retour au Sri Lanka, en raison de son origine, de son appartenance ethnique et familiale, du dépôt d'une demande d'asile en Suisse, de la cicatrice qu'il présente et des circonstances de son départ du pays.</w:t>
      </w:r>
    </w:p>
    <w:p>
      <w:r>
        <w:rPr>
          <w:b/>
        </w:rPr>
        <w:t>E. 5.2</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Afin d'évaluer les risques de sérieux préjudices sous forme d'arrestation et de torture encourus par les ressortissants sri-lankais qui rentrent au pays, il a défini,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E-1866/2015 précité consid. 8.4 et 8.5). Le Tribunal a d'autre part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E-1866/2015 précité consid. 8.5.5). Le retour au Sri Lanka sans document d'identité valable (cf. E-1866/2015 précité consid. 8.4.4) constitue notamment un tel facteur de risque faible.</w:t>
      </w:r>
    </w:p>
    <w:p>
      <w:r>
        <w:rPr>
          <w:b/>
        </w:rPr>
        <w:t>E. 5.3</w:t>
      </w:r>
    </w:p>
    <w:p>
      <w:r>
        <w:t>En l'occurrence, le recourant n'a pas rendu vraisemblable qu'il avait été persécuté et recherché en raison de ses anciennes activités de chauffeur pour les LTTE ou en raison de son lien de parenté avec son frère disparu, lequel aurait été suspecté d'avoir rejoint un leader de ce mouvement. De même, il ne saurait être retenu sur la base de ses déclarations qu'il pourrait être considéré, par les autorités sri-lankaises, comme une personne dotée de la volonté et de la capacité de raviver le conflit ethnique dans le pays du fait de son implication pour la cause tamoule. Il n'y a dès lors pas lieu d'admettre que son nom figure sur une "Stop List" ou une "Watch List" utilisée par les autorités sri-lankaises à l'aéroport de Colombo. Par ailleurs, le recourant n'a pas non plus déployé d'activités importantes et significatives en faveur de la cause tamoule en Suisse, sa présence à une réunion à l'office des Nations Unies de Genève, le 23 mars 2016, s'étant limitée à celle d'un simple participant (cf. p-v d'audition du 8 septembre 2016, R 57 à 61). Ainsi, en l'absence de facteurs de risque élevés, l'appartenance du recourant à l'ethnie tamoule, sa provenance de la province du Nord, le dépôt d'une demande d'asile, l'absence alléguée d'un passeport pour rentrer au Sri Lanka ainsi que d'éventuels interrogatoires dans le cadre d'un possible renvoi forcé dans cet Etat ne constituent pas des facteurs de risque susceptibles, à eux seuls, de fonder une crainte objective de représailles (cf. arrêt de référence E-1866/2015 précité consid. 9.2.4 et 9.2.5 ; voir aussi arrêt du Tribunal E-4703/2017 et E-4705/2017 du 25 octobre 2017 consid. 4.4 et 4.5 [arrêt en partie publié sous ATAF 2017 VI/6]). Il en va de même de la cicatrice qu'il porte au niveau de son flanc gauche, laquelle mesure, selon le certificat médical du 15 octobre 2018, moins d'un centimètre. Cette appréciation est d'autant plus justifiée que le recourant a quitté le Sri Lanka légalement, muni d'un passeport à son nom, en juillet 2015, soit bien après la fin des hostilités entre les LTTE et l'armée sri-lankaise, le 19 mai 2009 (cf. p-v d'audition du 8 septembre 2016, R 119).</w:t>
      </w:r>
    </w:p>
    <w:p>
      <w:r>
        <w:rPr>
          <w:b/>
        </w:rPr>
        <w:t>E. 5.4</w:t>
      </w:r>
    </w:p>
    <w:p>
      <w:r>
        <w:t>En conclusion, la crainte du recourant d'avoir à subir, en cas de retour au Sri Lanka, de sérieux préjudices au sens de l'art. 3 LAsi pour des motifs postérieurs à sa fuite n'est pas objectivement fondée. Dans ces conditions, son recours doit également être rejeté, en tant qu'il conteste le refus de reconnaissance de la qualité de réfugié.</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83 de la loi sur les étrangers et l'intégration (LEI , RS 142.20), qui a remplacé, le 1er janvier 2019, l'art. 83 de l'ancienne loi sur les étrangers (LEtr), sans en modifier cependant le contenu).</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le Tribunal relève que l'intéressé, comme constaté précédemment, n'a pas établi la forte probabilité d'un risque de cette nature. L'exécution de son renvoi sous forme de refoulement ne transgresse dès lors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E-1866/2015 précité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w:t>
      </w:r>
    </w:p>
    <w:p>
      <w:r>
        <w:rPr>
          <w:b/>
        </w:rPr>
        <w:t>E. 9.3</w:t>
      </w:r>
    </w:p>
    <w:p>
      <w:r>
        <w:t>En l'espèce, le recourant est originaire du district de C._______, où il a passé le plus clair de sa vie. Aussi, malgré des conditions de vie généralement difficiles dans le nord du pays, il doit être admis que le retour de l'intéressé dans sa région d'origine est raisonnablement exigible. En outre, il ne ressort du dossier aucun élément dont on pourrait inférer que l'exécution du renvoi impliquerait une mise en danger concrète de l'intéressé. A cet égard, il est au bénéfice d'une expérience professionnelle de chauffeur, n'a pas allégué de problèmes de santé particuliers et dispose d'un large réseau familial et social dans son pays, sur lequel il pourra compter à son retour (cf. p-v d'audition du 4 novembre 2015, pt. 3.01 et du 8 septembre 2016, R 94 s.). Il a, au demeurant, admis que son père avait suffisamment de revenus pour l'aider, celui-là l'ayant déjà soutenu financièrement entre 2011 et 2015 grâce à ses revenus d'agriculteur (cf. p-v d'audition du 8 septembre 2016, R 99).</w:t>
      </w:r>
    </w:p>
    <w:p>
      <w:r>
        <w:rPr>
          <w:b/>
        </w:rPr>
        <w:t>E. 9.4</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12</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13.1.1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13.1.2</w:t>
      </w:r>
    </w:p>
    <w:p>
      <w:r>
        <w:t>La demande d'assistance judiciaire totale ayant cependant été admise par ordonnance du 2 novembre 2018, il n'est pas perçu de frais de procédure (art. 65 al. 1 PA et anc. art. 110a al. 1 LAsi).</w:t>
      </w:r>
    </w:p>
    <w:p>
      <w:r>
        <w:rPr>
          <w:b/>
        </w:rPr>
        <w:t>E. 13.2.1</w:t>
      </w:r>
    </w:p>
    <w:p>
      <w:r>
        <w:t>Par ailleurs, il y a lieu d'accorder une indemnité à titre d'honoraires et de débours aux mandataires successives du recourant (art. 8 à 11 FITAF, applicables par analogie conformément à l'art. 12 FITAF). Conformément à la pratique du Tribunal, en cas de représentation d'office en matière d'asile, le tarif horaire est dans la règle de 200 à 220 francs pour les avocats et de 100 à 150 francs pour les représentants ne bénéficiant pas du brevet d'avocat (art. 12 en rapport avec l'art. 10 al. 2 FITAF) ; seuls les frais nécessaires sont indemnisés (art. 8 al. 2 FITAF).</w:t>
      </w:r>
    </w:p>
    <w:p>
      <w:r>
        <w:rPr>
          <w:b/>
        </w:rPr>
        <w:t>E. 13.2.2</w:t>
      </w:r>
    </w:p>
    <w:p>
      <w:r>
        <w:t>En l'espèce, la note de frais jointe au recours signé par Laetitia Isoz se monte à 2'100 francs et fait état de 13 heures de travail ainsi que de 150 francs à titre de frais. Compte tenu de la réduction du nombre d'heures précité à 11 heures et trente minutes ainsi que des démarches ultérieures de cette mandataire - soit les courriers des 22 octobre, 26 novembre et 21 décembre 2018 ainsi que celui du 11 février 2019 -, le montant total des honoraires est arrêté à 2'025 francs (treize heures et trente minutes à 150 francs/heure), les 150 francs de débours non justifiés n'étant pour le reste pas retenus. Ce montant est à verser à Elisa Asile, l'ancien employeur de la première mandataire. S'agissant de l'actuelle mandataire du recourant, au bénéfice du brevet d'avocat, l'indemnité due pour son intervention du 6 mai 2019 est arrêtée à 200 francs (une heure à 200 francs). Les deux montants précités ne comprennent aucun supplément TVA au sens de l'art.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