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E-5885/2016 vom 10. Oktober 2017</w:t>
      </w:r>
    </w:p>
    <w:p>
      <w:r>
        <w:t>Bundesverwaltungsgericht, 2017-10-10, DE</w:t>
      </w:r>
    </w:p>
    <w:p>
      <w:r>
        <w:rPr>
          <w:b/>
        </w:rPr>
        <w:t xml:space="preserve">Quelle: </w:t>
      </w:r>
      <w:r>
        <w:t>https://mcp.opencaselaw.ch/entscheid/bvger_E-5885_2016</w:t>
      </w:r>
    </w:p>
    <w:p>
      <w:r>
        <w:t>FR: TAF E-5885/2016 du 10 octobre 2017</w:t>
      </w:r>
    </w:p>
    <w:p>
      <w:r>
        <w:t>IT: TAF E-5885/2016 del 10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Der Beschwerdeführer wurde von der Vorinstanz wegen Unzumutbarkeit des Wegweisungsvollzugs vorläufig aufgenommen. Gegenstand des vorliegenden Beschwerdeverfahrens bildet die Flüchtlingseigenschaft, der Asylpunkt und die Wegweisung des Beschwerdeführers.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5.1</w:t>
      </w:r>
    </w:p>
    <w:p>
      <w:r>
        <w:t>Die Vorinstanz gelangt in der angefochtenen Verfügung zunächst zum Schluss, das Vorbringen des Beschwerdeführers, wonach er in Eritrea aus dem Gefängnis geflohen sei, würde den Anforderungen an das Glaubhaftmachen gemäss Art. 7 AsylG nicht standhalten. Seine Angaben betreffend die Flucht im Jahr (...) würden Unstimmigkeiten aufweisen und seien wenig substantiiert. Dies sei erstaunlich, da er den Militärdienst sowie die Gefängnisaufenthalte detailreich und eingehend habe zu schildern vermocht. Überdies würden seine Ausführungen zur Flucht keine Realkennzeichen beinhalten. In Anbetracht der Tatsache, dass die Flucht ein wesentliches Element der Gefährdungssituation darstelle, sei nicht nachvollziehbar, weshalb er die Fluchtsituation nur sehr vage und oberflächlich beschrieben habe. Zudem habe er unterschiedliche Angaben zur Dauer seines Spitalaufenthaltes gemacht. Ferner sei nicht nachvollziehbar, dass er als Häftling wegen eines (...)bisses unbewacht zu (...) habe gehen können. Insgesamt sei nicht glaubhaft, dass er im Jahr (...) aus der Haft geflohen sei. Deshalb würden seine Ausreisegründe im Dunkeln bleiben und die Vermutung bestehen, dass er im Jahr (...) aus der Haft entlassen worden und vorliegend von abgeschlossenen Verfolgungshandlungen auszugehen sei. Im Übrigen seien die Gefängnisaufenthalte nicht asylrelevant, da der Zweck der Asylgewährung der Schutz vor künftiger Verfolgung sei und nicht der Ausgleich für vergangenes Unrecht.</w:t>
      </w:r>
    </w:p>
    <w:p>
      <w:r>
        <w:rPr>
          <w:b/>
        </w:rPr>
        <w:t>E. 5.2</w:t>
      </w:r>
    </w:p>
    <w:p>
      <w:r>
        <w:t>Weiter führt die Vorinstanz in der angefochtenen Verfügung aus, der Beschwerdeführer sei auch nicht aufgrund subjektiver Nachfluchtgründe (Art. 54 AsylG) ernsthaften Nachteilen im Sinne von Art. 3 AsylG ausgesetzt. Die illegale Ausreise sei aufgrund einer neuen Beurteilung - unabhängig von der Glaubhaftigkeit - nicht mehr asylrelevant.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Diasporasteuer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demnach eine untergeordnete Rolle. Es sei davon auszugehen, dass der Beschwerdeführer demobilisiert respektive nach der Haftentlassung im Jahr (...) nicht mehr in den Nationaldienst eingezogen worden sei. Er habe somit nicht gegen die Proclamation on National Service von 1995 verstossen. Den Akten seien auch sonst keine Anhaltspunkte zu entnehmen, wonach er bei einer Rückkehr nach Eritrea ernsthafte Nachteile zu gewärtigen hätte. Seine Vorbringen bezüglich der illegalen Ausreise seien somit - unabhängig von der Glaubhaftigkeit - asylrechtlich unbeachtlich.</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6.2</w:t>
      </w:r>
    </w:p>
    <w:p>
      <w:r>
        <w:t>Zunächst ist festzustellen, dass die Schilderungen des Beschwerdeführers zum Militärdienst im Allgemeinen, zu seiner Beteiligung am Grenzkrieg zwischen Eritrea und Äthiopien, zu den Gefängnisaufenthalten und zur dabei erlittenen Folter in jeder Hinsicht substantiiert, detailliert, widerspruchsfrei und konsistent, mithin insgesamt glaubhaft sind. Dies wird von der Vorinstanz in der angefochtenen Verfügung auch nicht bestritten.</w:t>
      </w:r>
    </w:p>
    <w:p>
      <w:r>
        <w:rPr>
          <w:b/>
        </w:rPr>
        <w:t>E. 6.3</w:t>
      </w:r>
    </w:p>
    <w:p>
      <w:r>
        <w:t>Wie die Vorinstanz in der angefochtenen Verfügung ausführt, mag es zwar zutreffen, dass die Art und Tiefe der Schilderungen des Beschwerdeführers ab dem Zeitpunkt des Spitalaufenthalt und der Flucht im Jahr (...) von den vorherigen Ausführungen abweichen. Indes unterliegt das Glaubhaftmachen einem reduzierten Beweismassstab und die Vorbringen sind im Sinne einer Gesamtwürdigung zu beurteilen (vgl. vorstehend E. 6.1). Der Vorinstanz kann hinsichtlich der Schlussfolgerung, wonach die Ausführungen des Beschwerdeführers zur Flucht im Jahr (...) keine persönlichen Erlebnisse oder Erinnerungen beinhalten würden sowie vage, realitätsfremd und unsubstantiiert seien, nicht gefolgt werden. Die Vorbringen des Beschwerdeführers zum (...) und den (...) mögen auf den ersten Blick nicht unbedingt plausibel erscheinen. Indes enthalten seine Ausführungen eine ausreichende Dichte an Realkennzeichen. So konnte er die näheren Umstände zum (...), die daraus resultierenden gesundheitlichen Beschwerden sowie die Behandlung durch (...) durchaus realitätsnah und anschaulich beschreiben (vgl. SEM-Akten A52/25 F115f. und F121). Ebenfalls zu überzeugen vermochte die Begründung, weshalb er (...) alleine aufsuchen durfte. In Anbetracht der jahrelangen Inhaftierung unter schwersten Bedingungen und Folter ist es - wie in der Rechtsmitteleingabe zutreffend ausgeführt - überdies nachvollziehbar, dass die darauf folgenden Ereignisse keine derart prägenden Erlebnisse mehr darstellen. Somit ist davon auszugehen, dass die Ausführungen des Beschwerdeführers betreffend die Flucht aus dem Spital beziehungsweise aus der Haft glaubhaft sind. Die Vorinstanz hat somit diesbezüglich gemäss Art. 7 AsylG den Massstab des Glaubhaftmachens nicht richtig angewendet, mithin Bundesrecht verletzt.</w:t>
      </w:r>
    </w:p>
    <w:p>
      <w:r>
        <w:rPr>
          <w:b/>
        </w:rPr>
        <w:t>E. 6.4</w:t>
      </w:r>
    </w:p>
    <w:p>
      <w:r>
        <w:t>Nachdem von der Glaubhaftigkeit der Vorbringen des Beschwerdeführers auszugehen ist, kann die Vermutung der Vorinstanz, wonach er aus der Haft und sogleich auch aus dem Militärdienst entlassen worden sein soll, nicht gestützt werden. Wie der Beschwerdeführer in der Rechtsmitteleingabe zutreffend ausführt, ist es nicht nachvollziehbar, dass er, um in der Nähe des Stationierungsortes seiner Einheit zu sein, jeweils von einem Gefängnis zum nächsten transferiert worden sein soll, wenn er mit der Haftentlassung gleichzeitig von der Militärdienstpflicht hätte befreit werden sollen, zumal er zum damaligen Zeitpunkt ungefähr (...) Jahre alt gewesen ist. Folglich hat er glaubhaft gemacht, dass er mit seiner Flucht im Jahr (...) auch aus dem eritreischen Nationaldienst desertiert ist.</w:t>
      </w:r>
    </w:p>
    <w:p>
      <w:r>
        <w:rPr>
          <w:b/>
        </w:rPr>
        <w:t>E. 6.5</w:t>
      </w:r>
    </w:p>
    <w:p>
      <w:r>
        <w:t>Auf die Glaubhaftigkeit der Ausführungen des Beschwerdeführers zu seinen Aufenthaltsorten bis zur Ausreise am 1. Januar 2015 ist die Vorinstanz nicht eingegangen. Indes hat er auch diese glaubhaft dargelegt. Er führte detailliert und nachvollziehbar aus, wann, wo und bei wem er sich jeweils aufhielt (vgl. SEM-Akten A52/25 F43).</w:t>
      </w:r>
    </w:p>
    <w:p>
      <w:r>
        <w:rPr>
          <w:b/>
        </w:rPr>
        <w:t>E. 6.6</w:t>
      </w:r>
    </w:p>
    <w:p>
      <w:r>
        <w:t>Die Vorinstanz äussert sich sodann auch zur Glaubhaftigkeit der illegalen Ausreise in der angefochtenen Verfügung nicht. Die diesbezüglichen Ausführungen des Beschwerdeführers sind - trotz geringerer Dichte im Vergleich zu den Schilderungen betreffend den Militärdienst und die Inhaftierungen - widerspruchsfrei und nachvollziehbar (vgl. SEM-Akten A52/25 F156 ff., A17/11 F9 ff. und F31 ff.). Auch enthalten sie genügend Realkennzeichen. Den Mann, der ihn nach T._______ führte, konnte der Beschwerdeführer ausreichend beschreiben. Die Erklärung, wonach er ihn kenne, weil seine Familie früher von ihm (...) habe, erscheint plausibel (vgl. SEM-Akten A52/25 F156 und 158). Seinen Aufenthalt in T._______ sowie die Umstände des auf ihn ausgestellten französischen Visums konnte er anlässlich der beiden Anhörungen ebenfalls glaubhaft und übereinstimmend darlegen (vgl. SEM-Akten A17/11 F11 ff. sowie A52/25 F172 ff.). Die Aussagen, wonach er erst in der Schweiz erfahren habe, dass er mit einem (...) Pass gereist ist, sind übereinstimmend (vgl. SEM-Akten A52/25 F179 und SEM-Akten A17/11 F13 f.).</w:t>
      </w:r>
    </w:p>
    <w:p>
      <w:r>
        <w:rPr>
          <w:b/>
        </w:rPr>
        <w:t>E. 6.7</w:t>
      </w:r>
    </w:p>
    <w:p>
      <w:r>
        <w:t>Aufgrund der vorstehenden Erwägungen ergibt sich, dass die Vorbringen des Beschwerdeführers insgesamt glaubhaft sind.</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(BVGE 2010/57 E. 2 m.w.H.).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(BVGE 2010/57 E. 2.5).</w:t>
      </w:r>
    </w:p>
    <w:p>
      <w:r>
        <w:rPr>
          <w:b/>
        </w:rPr>
        <w:t>E. 7.2</w:t>
      </w:r>
    </w:p>
    <w:p>
      <w:r>
        <w:t>Nachfolgend gilt es im Rahmen einer rechtlichen Würdigung die glaubhaften Vorbringen auf ihre asyl- beziehungsweise flüchtlingsrechtliche Relevanz hin zu prüfen.</w:t>
      </w:r>
    </w:p>
    <w:p>
      <w:r>
        <w:rPr>
          <w:b/>
        </w:rPr>
        <w:t>E. 7.3</w:t>
      </w:r>
    </w:p>
    <w:p>
      <w:r>
        <w:t>Der Beschwerdeführer wurde während seiner Inhaftierung von (...) bis (...) unbestrittenermassen gefoltert. Ob diese Tatsache alleine bereits die Flüchtlingseigenschaft gemäss Art. 3 AsylG zu erfüllen vermag, kann in Anbetracht der nachstehenden Ausführungen offen bleiben. Mit der Flucht aus dem Spital beziehungsweise der Haft im Jahr (...) ist der Beschwerdeführer gleichzeitig aus dem Militärdienst desertiert. Aufgrund seiner Desertion erfüllt er gemäss Rechtsprechung des Bundesverwaltungsgerichts die Flüchtlingseigenschaft (vgl. statt vieler: Urteil D-1359/2015 vom 22. August 2017, E. 6.1 sowie Entscheidungen und Mitteilungen der Schweizerischen Asylrekurskommission [EMARK] 2006 Nr. 33). Die Verfolgung war im Zeitpunkt der illegalen Ausreise aktuell (Vorfluchtgründe). Dem Beschwerdeführer stand damals innerhalb seines Heimatstaats offensichtlich keine Aufenthalts- respektive Schutzalternative zur Verfügung. Vor diesem Hintergrund hat der Beschwerdeführer im Falle einer Rückkehr in sein Heimatland begründete Furcht vor ernsthaften Nachteilen. Die Voraussetzungen von Art. 3 AsylG sind somit erfüllt. Aus den Akten ergeben sich schliesslich auch keine Hinweise auf das Vorliegen von Asylausschlussgründen gemäss Art. 53 AsylG, so dass der Beschwerdeführer asylberechtigt ist.</w:t>
      </w:r>
    </w:p>
    <w:p>
      <w:r>
        <w:rPr>
          <w:b/>
        </w:rPr>
        <w:t>E. 7.4</w:t>
      </w:r>
    </w:p>
    <w:p>
      <w:r>
        <w:t>Darüber hinaus würde der Beschwerdeführer die Flüchtlingseigenschaft bereits aufgrund seiner illegalen Ausreise (subjektive Nachfluchtgründe) erfüllen: Nach jüngster Rechtsprechung ist von der begründeten Furcht vor einer flüchtlingsrechtlich relevanten Verfolgungsgefahr wegen illegaler Ausreise dann auszugehen, wenn zur illegalen Ausreise weitere Faktoren hinzukommen, welche die asylsuchende Person in den Augen der eritreischen Behörden als missliebige Person erscheinen lassen (vgl. Referenzurteil D-7898/2015 vom 30. Januar 2017 E. 5). Dies ist hier klar der Fall.</w:t>
      </w:r>
    </w:p>
    <w:p>
      <w:r>
        <w:rPr>
          <w:b/>
        </w:rPr>
        <w:t>E. 8</w:t>
      </w:r>
    </w:p>
    <w:p>
      <w:r>
        <w:t>Insgesamt ergibt sich, dass die Voraussetzungen von Art. 3 und 7 AsylG erfüllt sind. Die Beschwerde ist gutzuheissen. Die angefochtene Verfügung ist aufzuheben und die Vorinstanz anzuweisen, die Flüchtlingseigenschaft des Beschwerdeführers festzustellen und ihm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macht in der Beschwerde ein Honorar von insgesamt Fr. 950.- geltend. Dieser Betrag erscheint angemessen und ist angesichts des Schreibens betreffend Fürsorgebestätigung vom 17. Oktober 2016 um Fr. 50.- zu erhöhen. Dem Beschwerdeführer ist folglich zulasten der Vorinstanz eine Parteientschädigung von insgesamt Fr. 1 000.- zuzusprechen.</w:t>
      </w:r>
    </w:p>
    <w:p>
      <w:r>
        <w:rPr>
          <w:b/>
        </w:rPr>
        <w:t>E. 9.3</w:t>
      </w:r>
    </w:p>
    <w:p>
      <w:r>
        <w:t>Mit vorliegendem Urteil ist die mit Zwischenverfügung vom 4. Oktober 2016 gewährte unentgeltliche Prozessführung sowie Verbeiständung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