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E-5884/2013 vom 10. August 2015</w:t>
      </w:r>
    </w:p>
    <w:p>
      <w:r>
        <w:t>Bundesverwaltungsgericht, 2015-08-10, DE</w:t>
      </w:r>
    </w:p>
    <w:p>
      <w:r>
        <w:rPr>
          <w:b/>
        </w:rPr>
        <w:t xml:space="preserve">Quelle: </w:t>
      </w:r>
      <w:r>
        <w:t>https://mcp.opencaselaw.ch/entscheid/bvger_E-5884_2013</w:t>
      </w:r>
    </w:p>
    <w:p>
      <w:r>
        <w:t>FR: TAF E-5884/2013 du 10 août 2015</w:t>
      </w:r>
    </w:p>
    <w:p>
      <w:r>
        <w:t>IT: TAF E-5884/2013 del 10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2.1</w:t>
      </w:r>
    </w:p>
    <w:p>
      <w:r>
        <w:t>Das Verfahren richtet sich nach dem VwVG, dem VGG und dem BGG, soweit das AsylG nichts anderes bestimmt (Art. 37 VGG und Art. 6 AsylG).</w:t>
      </w:r>
    </w:p>
    <w:p>
      <w:r>
        <w:rPr>
          <w:b/>
        </w:rPr>
        <w:t>E. 2.2</w:t>
      </w:r>
    </w:p>
    <w:p>
      <w:r>
        <w:t>Am 1. Februar 2014 trat die Revision des Asylgesetzes vom 14. Dezember 2012 in Kraft. Gemäss Abs. 1 der diesbezüglichen Übergangsbestimmungen gilt für im Zeitpunkt des Inkrafttretens hängige Verfahren- mit vorliegend nicht einschlägigen Ausnahmen - das neue Recht.</w:t>
      </w:r>
    </w:p>
    <w:p>
      <w:r>
        <w:rPr>
          <w:b/>
        </w:rPr>
        <w:t>E. 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4</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5</w:t>
      </w:r>
    </w:p>
    <w:p>
      <w:r>
        <w:t>Der Beschwerdeführer hat am 14. November 2009 für sich und seinen Sohn C._______ um Asyl nachgesucht. Weshalb die Vorinstanz den Sohn beim Abschluss der erstinstanzlichen Verfahren ohne weiteres in das Asylgesuch der Ehefrau des Beschwerdeführers beziehungsweise Mutter von C._______ einschloss, wird aus den Akten nicht ersichtlich. Aufgrund seines Alters beziehungsweise indem er keine eigenen Asylgründe geltend macht, ist dieser Umstand aber ohne weiteren Belang, zumal er vorliegend nicht gerügt wird. Darüber hinaus entsteht aufgrund des Ausgangs des vorliegenden Verfahrens ohnehin grundsätzlich einen Anspruch auf Einbezug in den Status seines Vaters.</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2013/11 E. 5.1 S. 141 f.; 2011/51 E. 6.1 S. 1016; 2008/34 E. 7.1 S. 507 f.; 2008/12 E. 5.2 S. 154 f., Walter Stöckli, Asyl, in: Uebersax/Rudin/Hugi Yar/Geiser [Hrsg.], Ausländerrecht, 2. Aufl. 2009, S. 531 f.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6.2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und Urteil des Bundesverwaltungsgerichts D-5779/2013 vom 25. Februar 2015 E. 5.6.1 m.w.H., als Referenzurteil publiziert).</w:t>
      </w:r>
    </w:p>
    <w:p>
      <w:r>
        <w:rPr>
          <w:b/>
        </w:rPr>
        <w:t>E. 7.1</w:t>
      </w:r>
    </w:p>
    <w:p>
      <w:r>
        <w:t>Die Vorinstanz begründet ihre Verfügung weitestgehend, d.h. die Vorfluchtgründe betreffend, mit der fehlenden Glaubhaftigkeit der Vorbringen des Beschwerdeführers. So entbehrten unter anderem die Schilderung bezüglich seines Aufenthaltes in D._______ der Kongruenz. Ferner sei sein Verhalten, sich bei seinem Bruder oder auf dem Firmengelände aufzuhalten nicht nachvollziehbar, hätte er dort doch damit rechnen müssen, verhaftet zu werden. Nicht plausibel sei angesichts der Aktenlage, dass man ihm einen auf seinen Namen lautenden Reisepass habe ausstellen lassen, zumal ihm dieser für die Ausreise kaum nützlich gewesen wäre. Auch seine Vorbringen im Zusammenhang mit den Flugblättern seien kaum miteinander vereinbar, zumal nicht vorstellbar sei, dass Aktivisten einer nicht legalen politischen Gruppierung deren Flugblätter derart lange im Voraus zu Hause aufbewahren sollten. Im Zusammenhang mit der angeblichen Haft von (...) falle auf, dass er diese an der BzP mit keinem Wort erwähnt habe und auch im Zusammenhang mit jener von (...) sei es zu Unstimmigkeiten gekommen. Insgesamt sei der Schluss zu ziehen, dass sich der Beschwerdeführer auf eine konstruierte Asylbegründung stütze.</w:t>
      </w:r>
    </w:p>
    <w:p>
      <w:r>
        <w:rPr>
          <w:b/>
        </w:rPr>
        <w:t>E. 7.2</w:t>
      </w:r>
    </w:p>
    <w:p>
      <w:r>
        <w:t>Das Bundesverwaltungsgericht kommt zum Schluss, dass die Vorinstanz die Vorbringen des Beschwerdeführers zu Unrecht für unglaubhaft befunden hat. Ihre Argumentation hinterlässt nach einer einlässlichen Prüfung der Akten einen wenig überzeugenden Eindruck:</w:t>
      </w:r>
    </w:p>
    <w:p>
      <w:r>
        <w:rPr>
          <w:b/>
        </w:rPr>
        <w:t>E. 7.2.1</w:t>
      </w:r>
    </w:p>
    <w:p>
      <w:r>
        <w:t>Vorab vermitteln die Akten insgesamt vom Beschwerdeführer den Eindruck einer glaubwürdigen Person. Sowohl der Inhalt seiner Vorbringen als auch die Art und Weise, wie er diese darlegt sind von zahlreichen Qualitätsmerkmalen gekennzeichnet (sogenannte Realkennzeichen, vgl. dazu Revital Ludewig, Daphna Tavor, Sonja Baumer: Zwischen Wahrheit und Lüge, in: «Justice - Justiz - Giustizia» 2012/2, S. 10 f). Das Vorgebrachte ist logisch konsistent und das Kerngeschehen zieht sich wie ein roter Faden durch die Protokolle. Daneben ist auch das Element der unstrukturierten Darstellung, das gemäss der soeben erwähnten Quelle als aussagekräftiges Glaubhaftigkeitsmerkmal gilt, weil es ausgesprochen schwierig ist, eine Aussage unstrukturiert zu gestalten und dabei den Überblick nicht zu verlieren, in den Vorbringen des Beschwerdeführers zu finden (zB. Beschreibung der Haft, A17/29 Q115, aber auch müheloses Eingehen auf die gestellten Fragen, unabhängig davon, ob sie der Chronologie der Ereignisse folgen oder nicht). Ferner fallen seine Schilderungen, auch dort, wo es nicht direkt um die Kernvorbringen geht, äussert detailreich aus. Gerade Details, die objektiv irrelevant sind, die gesamte Darstellung aber plastisch erscheinen lassen, sprechen i.d.R. für die Glaubhaftigkeit einer Darstellung, weil diese nicht aus Schemawissen ableitbar sind. Diesbezüglich kann unter vielen anderen Beispielen etwa auf die äusserst detaillierte Beschreibung der Identitätskarte verwiesen werde (A17/29 Q4 ff), die Umschreibung, wie sich syrische Geheimdienstangehörige im Allgemeinen verhalten würden (A17/29 Q47), die Umstände in seinem (...) (A17/9 Q98) oder auch die Schilderung der Auseinandersetzung an der (...) im (...) (A17/29 Q62). Schliesslich sind die Vorbringen des Beschwerdeführers zum Kern seiner Geschichte äusserst substantiiert ausgefallen und von immer wieder grosser Emotionalität und Authentizität geprägt (vgl. sein gesundheitlicher Zustand während der Anhörung, die wiederholt unterbrochen werden musste: A17/29 S. 4, 11; ebd. Klammerbemerkung unter Q29 und Q120, Beobachtungen der Hilfswerksvertretung, Beschreibungen rund um die von einer Familie gegenüber der Ehefrau erhobenen Vorwürfe, zB. Q38 ff.), und seine Angst vor den syrischen Sicherheitsbehörden wird teilweise geradezu greifbar (vgl. A17/29 Q120).</w:t>
      </w:r>
    </w:p>
    <w:p>
      <w:r>
        <w:rPr>
          <w:b/>
        </w:rPr>
        <w:t>E. 7.2.2</w:t>
      </w:r>
    </w:p>
    <w:p>
      <w:r>
        <w:t>Die einzelnen dem Beschwerdeführer von der Vorinstanz entgegengehaltenen Unstimmigkeiten lösen sich bei genauerem Hinsehen auf, sind ohne weiteres erklär- oder aber vernachlässigbar. Die Vorinstanz begründet ihre Verfügung unter anderem damit, die Schilderung des Beschwerdeführers bezüglich seines Aufenthaltes in D._______ entbehrten der Kongruenz. So habe er in der BzP erklärt, ab (...) bis (...) in D._______ bei seinem Bruder im Quartier (...) gelebt zu haben. Auch im familiären Fabrikgebäude habe er sich aufgehalten, in letzterem sei er meist gewesen. In der Anhörung habe er auf Vorhalt hin angegeben, er sei nicht oft, sondern nur sehr selten zu seinem Bruder gegangen und auch dies nur, wenn dieser ihn abgeholt habe. Inwiefern diese Aussagen nicht kongruent sein sollen, ist nicht ersichtlich, sie stimmen im Gegenteil miteinander überein. Zwar hat sich der Beschwerdeführer tatsächlich während einer langen Zeit versteckt auf dem Fabrikgelände aufgehalten; seine Umschreibung der Örtlichkeiten und Umstände, unter welchen er dort gelebt hat, sind aber wiederum gekennzeichnet von verschiedensten Glaubhaftigkeitsmerkmalen, sind insbesondere detailreich und substantiiert ausgefallen (vgl. zB. A17/29 Q116ff ) und das Bundesverwaltungsgericht hat keinen Grund daran zu zweifeln, dass der Beschwerdeführer sich über eine lange Zeit hinweg dort versteckt hat, zumal die theoretische Annahme, eine verfolgte Person sei jederzeit in der Lage, den Verfolgerstaat innert kürzester Frist zu verlassen nicht in jedem Fall mit der Realität übereinstimmen muss. Soweit die Vorinstanz dem Beschwerdeführer entgegenhält, es sei nicht plausibel, dass ein auf ihn lautender Reisepass ausgestellt worden sei beziehungsweise ein solcher wäre ihm für die Ausreise kaum nützlich gewesen, ist sein Einwand, sein Bruder habe den Pass mittels Bestechung erhalten angesichts der bereits vor Ausbruch des Bürgerkrieges weitverbreiteten Korruption (vgl. u.a. Freedom House, Freedom in the World 2015 - Syria, 28.01.2015, abgerufen 31. Juli 2015) tauglich. Hinzu kommt, dass der Beschwerdeführer nie behauptet hat, Syrien mittels dem Pass verlassen zu haben; seine Schilderungen betreffend die illegale Ausreise sind vielmehr wiederum plausibel (vgl. z.B. A17/29 Q15) und der Pass diente ihm zur Weiterreise. Auch der Vorhalt des BFM, die vom Beschwerdeführer gemachten Angaben zu den Flugblättern liessen sich nicht miteinander vereinbaren, überzeugt nicht. Vielmehr ist sein Einwand in der Beschwerde, er habe nie angegeben, ein Aktivist einer Partei zu sein, berechtigt. Er sei Sympathisant der PYD gewesen, und als solcher habe er nicht mit der ständigen Angst leben müssen, dass die Behörden sein Haus durchsuchen würden. Die zwei bis fünf Exemplare der Flugblätter für die Feste von Newroz und 1. Mai seien überdies überparteiliche Flugblätter gewesen. Er habe sich wegen der Aufbewahrung dieser Flugblätter keine Sorgen gemacht, weil das syrische Regime den Newroz und den 1. Mai nicht als politische Aktionen gegen das Regime betrachte. Der Einwand wird durch das Protokoll gestützt, wo der Beschwerdeführer angegeben hatte, soweit er sich erinnere, seien im Zeitpunkt als die Behörden das Haus durchsucht hätten zwei Exemplare von Flugblättern, eines betreffend Newroz, eines vom 1. Mai zu Hause gewesen. Im Übrigen überzeugen auch diesbezüglich wiederum die detaillierten und plausiblen Ausführungen des Beschwerdeführers zur Art und Weise seiner Unterstützung der kurdischen Sache beziehungsweise der PYD, die sich wie ein roter Faden durch die BzP und die Anhörung ziehen. Dies gilt auch in Bezug auf die Inhaftierung nach dem (...). Zwar hat er diese anlässlich der BzP nicht ausdrücklich erwähnt, dort aber auf die Frage, ob er abgesehen vom Hausbesuch des Sicherheitsdienstes (...) weitere Probleme mit den Behörden gehabt habe geantwortet, als Kurde habe er früher schon Probleme gehabt, beispielsweise im (...) (vgl. A9/11 S. 7). Daraus ist ohne weiteres zu schliessen, dass er auch noch weitere Gründe hat. Dies, zusammen mit dem Umstand, dass er offensichtlich die Haft von (...) als nicht gegen ihn alleine, sondern im Zuge von Massenverhaftungen nach (...) betrachtet (vgl. z.B. A17/29 Q90, Q96) und die wiederum glaubhaften Schilderungen zu den Ursachen der und die Umstände während dieser Haft (u.a. A17/29, Q87ff., Q120) lassen offensichtlich nicht zu, aus dem Umstand, dass der Beschwerdeführer anlässlich der summarischen Befragung am Schluss auf die Frage, ob er weitere Asylgründe habe, mit nein antwortete auf die Unglaubhaftigkeit seiner Vorbringen zu schliessen. Schliesslich sind die Argumente des BFM, soweit es die Haft von (...) anzweifelt, ebenfalls ungeeignet, diese als unglaubhaft zu qualifizieren. Auf die in grosser Detailliertheit und mit spürbarer Betroffenheit geschilderten Ursachen und Umstände der Haft im Verlaufe der Anhörung kann verwiesen werden. Diesen Ereignissen die Glaubhaftigkeit abzusprechen, weil es wenig wahrscheinlich sei, dass dem Beschwerdeführer die an die Haft anknüpfende Entlassung nicht schriftlich mitgeteilt worden sei, zumal vor dem Hintergrund syrischer Verhältnisse (auch vor Ausbruch des Krieges) kann nicht überzeugen. Dasselbe gilt, wenn die Vor-instanz ihm ohne weiteres den Widerspruch in Bezug auf den Ort seiner Verhaftung entgegenhält, hatte er doch anlässlich der Lektüre des Protokolls diesbezüglich eine Unstimmigkeit bemerkt und nachgefragt, wobei man ihm bestätigt hatte, er habe sehr wohl gesagt, er sei zu Hause festgenommen worden (A17/29 S. 22 unten).</w:t>
      </w:r>
    </w:p>
    <w:p>
      <w:r>
        <w:rPr>
          <w:b/>
        </w:rPr>
        <w:t>E. 7.2.3</w:t>
      </w:r>
    </w:p>
    <w:p>
      <w:r>
        <w:t>Es erübrigt sich, weiter auf die dem Beschwerdeführer entgegengehaltenen Unstimmigkeiten einzugehen. Er ist nach dem Gesagten von der Glaubhaftigkeit des unter Buchstabe B aufgenommenen Sachverhalts auszugehen.</w:t>
      </w:r>
    </w:p>
    <w:p>
      <w:r>
        <w:rPr>
          <w:b/>
        </w:rPr>
        <w:t>E. 7.3</w:t>
      </w:r>
    </w:p>
    <w:p>
      <w:r>
        <w:t>Der Beschwerdeführer hat nach dem Gesagten aufgrund seiner Ethnie und/oder der ihm unterstellten oppositionellen Haltung seitens der syrischen Behörden ernsthafte Nachteile (insbesondere Folter) erlitten und hatte im Zeitpunkt der Ausreise zumindest eine subjektiv begründete Furcht vor künftiger Verfolgung. Vor dem aktuellen länderspezifischen Hintergrund, wonach die syrischen Behörden brutal und rücksichtslos gegen (vermeintliche) Regimegegner vorgehen (vgl. Urteil des Bundesverwaltungsgerichts D-5779/2013 vom 25. Februar 2015 E. 5.7.2, als Referenzurteil publiziert), ist seine Furcht vor künftiger Verfolgung im Sinne von Art. 3 AsylG jedenfalls im heutigen und entscheidenden Zeitpunkt ohne weiteres auch objektiv begründet. Eine innerstaatliche Fluchtalternative ist unter Verweis auf Erwägung 5.9 des soeben zitierten Urteils zu verneinen.</w:t>
      </w:r>
    </w:p>
    <w:p>
      <w:r>
        <w:rPr>
          <w:b/>
        </w:rPr>
        <w:t>E. 8</w:t>
      </w:r>
    </w:p>
    <w:p>
      <w:r>
        <w:t>Aus diesen Erwägungen ergibt sich, dass der Beschwerdeführer die Flüchtlingseigenschaft im Sinne von Art. 3 AsylG erfüllt. Eine Prüfung allfälliger subjektiver Nachfluchtgründe erübrigt sich. Die Beschwerde ist daher gutzuheissen. Das SEM ist anzuweisen, dem Beschwerdeführer in der Schweiz Asyl zu gewähren. 9.1 Bei diesem Ausgang des Verfahrens sind keine Kosten zu erheben (Art. 63 Abs. 3 VwVG i.V.m. Art. 37 VGG). 9.2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in der Kostennote vom 20. Mai 2015 geltend gemachte Aufwand und Stundenansatz erscheinen als angemessen. Der Betrag von Fr. 2'507.90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