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E-5881/2024 vom 14. Oktober 2024</w:t>
      </w:r>
    </w:p>
    <w:p>
      <w:r>
        <w:t>Bundesverwaltungsgericht, 2024-10-14, DE</w:t>
      </w:r>
    </w:p>
    <w:p>
      <w:r>
        <w:rPr>
          <w:b/>
        </w:rPr>
        <w:t xml:space="preserve">Quelle: </w:t>
      </w:r>
      <w:r>
        <w:t>https://mcp.opencaselaw.ch/entscheid/bvger_E-5881_2024</w:t>
      </w:r>
    </w:p>
    <w:p>
      <w:r>
        <w:t>FR: TAF E-5881/2024 du 14 octobre 2024</w:t>
      </w:r>
    </w:p>
    <w:p>
      <w:r>
        <w:t>IT: TAF E-5881/2024 del 14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t>E-5881/2024 Seite 4</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mangelnden asylrechtlichen Relevanz der Vorbringen der Beschwerdeführerin. Obwohl die erlittene Vergewaltigung für sie be-</w:t>
      </w:r>
    </w:p>
    <w:p>
      <w:r>
        <w:t>E-5881/2024 Seite 5 stimmt mit vielen Schwierigkeiten verbunden gewesen sei, liege diese be- reits weit in der Vergangenheit. Sie habe sich zwischen 2002 und ihrer ers- ten Ausreise nach Tunesien im Jahr 2019 unbehelligt in ihrem Heimatstaat aufgehalten, ohne dass es diesbezüglich zu weiteren Vorkommnissen, An- näherungen oder Drohungen gekommen sei. Dieses Vorbringen weise demnach weder einen zeitlichen Zusammenhang zu ihren Ausreisen in den Jahren 2019 und 2021 auf, noch bestehe deswegen eine begründete Furcht vor zukünftigen Nachteilen. Hinsichtlich des Vorfalls häuslicher Ge- walt sei festzustellen, dass diese Art der Gewalt zwar nicht ausdrücklich im ivorischen Gesetz erwähnt werde, die Elfenbeinküste aber mehrere völker- rechtliche Instrumente zum Schutz der Rechte der Frauen ratifiziert habe, darunter beispielsweise das Übereinkommen zur Beseitigung jeder Form von Diskriminierung der Frau. Ausserdem sei der Grundsatz der Gleichheit der Geschlechter ausdrücklich in der ivorischen Verfassung verankert und das Strafgesetzbuch stelle physische Gewalt unter Strafe. Obwohl ihr Ex- Partner der polizeilichen Vorladung nicht nachgekommen sei, sei es ihr möglich gewesen, Anzeige gegen ihn zu erstatten, und die Polizei sei in dieser Sache auch tätig geworden. Es gebe zwar keine Hinweise dafür, dass ihr seitens ihres Ex-Partners erneut Nachteile drohen könnten, die staatlichen Sicherheitsbehörden hätten sich in ihrem Fall aber letztlich oh- nehin als schutzwillig und schutzfähig erwiesen.</w:t>
      </w:r>
    </w:p>
    <w:p>
      <w:r>
        <w:rPr>
          <w:b/>
        </w:rPr>
        <w:t>E. 5.2</w:t>
      </w:r>
    </w:p>
    <w:p>
      <w:r>
        <w:t>Zur Begründung ihres Rechtsmittels führte die Beschwerdeführerin im Wesentlichen aus, bereits viel Leid erfahren zu haben und insbesondere Opfer von häuslicher Gewalt geworden zu sein. Obwohl sie ihren Ex-Part- ner angezeigt habe, habe dies für ihn keine juristischen Konsequenzen ge- habt. Die Polizei habe ihn zwar vorgeladen, nachdem er diesem Termin ferngeblieben sei, hätten die Behörden aber keine weiteren Massnahmen ergriffen. Die heimatlichen Behörden seien demnach nicht in der Lage ge- wesen, sie in ihrer verletzlichen Position vor weiteren Übergriffen zu schüt- zen. Im Fall einer Rückkehr drohe sie angesichts dieser Schutzlosigkeit erneut (geschlechtsspezifischer) Gewalt ausgesetzt zu werden. Die Argu- mentation des SEM minimisiere sodann die Tragweite der Vergewaltigung, die sie im Jahr 2002 habe erleben müssen. Obwohl der Vorfall im Zeitpunkt ihrer Ausreise bereits mehrere Jahre zurückgelegen habe, sei sie davon anhaltend traumatisiert und sie leide nach wie vor unter diesem Vorfall und der Tatsache, dass sie den Tätern danach immer wieder in der Nachbar- schaft begegnet sei. Ohnehin sei ihr Heimatstaat weder gewillt noch fähig, Frauen wirksam vor geschlechtsspezifischer Gewalt zu schützen oder rechtlich gegen die Täter vorzugehen.</w:t>
      </w:r>
    </w:p>
    <w:p>
      <w:r>
        <w:t>E-5881/2024 Seite 6</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Zufügung körperlicher und sexueller Gewalt durch Dritte im häusli- chen Kontext entfaltet nur dann asylrechtliche Relevanz, wenn der betroffe- nen Person im Heimatstaat adäquater Schutz, insbesondere wegen ihres Geschlechts, verweigert wird (vgl. BVGE 2011/51 E. 7.1 ff. m.w.H.; Urteil BVGer D-5356/2020 vom 28. November 2022 m.w.H.). Nachteilen, die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w:t>
      </w:r>
    </w:p>
    <w:p>
      <w:r>
        <w:rPr>
          <w:b/>
        </w:rPr>
        <w:t>E. 6.3</w:t>
      </w:r>
    </w:p>
    <w:p>
      <w:r>
        <w:t>Der Vorinstanz ist darin zuzustimmen, dass die geltend gemachten Ver- gewaltigungen im Jahr 2002 keinen zeitlichen Kausalzusammenhang zur Ausreise der Beschwerdeführerin 17 Jahre später aufweist. Es ist äusserst bedauerlich, dass die Beschwerdeführerin Opfer sexueller Gewalt gewor- den ist und sie deswegen anschliessend auch noch mit ernsthaften ge- sundheitlichen Problemen zu kämpfen hatte. Angesichts der Tatsache, dass der Vorfall im Zeitpunkt ihrer Ausreise bereits 17 Jahre zurücklag und sie sich während dieser Zeit unbehelligt in ihrem Heimatland aufgehalten und dort ein weitgehend autonomes Leben geführt hat, mangelt es diesem Vorbringen aber letztlich offensichtlich an asylrechtlicher Relevanz.</w:t>
      </w:r>
    </w:p>
    <w:p>
      <w:r>
        <w:rPr>
          <w:b/>
        </w:rPr>
        <w:t>E. 6.4</w:t>
      </w:r>
    </w:p>
    <w:p>
      <w:r>
        <w:t>Gleiches gilt auch für den Vorfall häuslicher Gewalt im Rahmen einer späteren Beziehung im Jahr 2019. Es ist zwar nachvollziehbar, dass die Beschwerdeführerin angesichts ihrer Erlebnisse in der Vergangenheit die Rolle der Frau in der ivorischen Gesellschaft und den Umgang mit Betroffe- nen sexueller Gewalt kritisch sieht, allerdings vermag sie letztlich auch da- raus keine asylrechtlich relevante Verfolgung oder begründete Furcht vor solcher in der Zukunft abzuleiten. In diesem Zusammenhang wesentlich erscheint die Tatsache, dass es der Beschwerdeführerin möglich war, sich</w:t>
      </w:r>
    </w:p>
    <w:p>
      <w:r>
        <w:t>E-5881/2024 Seite 7 an die Polizei zu wenden, wo ihre Anzeige entgegengenommen und die Sache weiterverfolgt worden ist. Vor diesem Hintergrund vermögen ihre Ausführungen auf Beschwerdeebene, wonach die Behörden weder willig noch fähig seien, sie vor weiterer (geschlechtsspezifischer) Gewalt zu schützen, nicht zu überzeugen.</w:t>
      </w:r>
    </w:p>
    <w:p>
      <w:r>
        <w:rPr>
          <w:b/>
        </w:rPr>
        <w:t>E. 6.5</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E-5881/2024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 rerin noch aus den Akten Anhaltspunkte dafür, dass sie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Dies gelingt ihr nach den vorstehenden Ausführungen nicht. Auch die allgemeine Menschenrechtssituation im Heimatstaat lässt den Wegwei- sungsvollzug zum heutigen Zeitpunkt nicht als unzulässig erscheinen.</w:t>
      </w:r>
    </w:p>
    <w:p>
      <w:r>
        <w:rPr>
          <w:b/>
        </w:rPr>
        <w:t>E. 8.2.4.1</w:t>
      </w:r>
    </w:p>
    <w:p>
      <w:r>
        <w:t>Hinsichtlich der geltend gemachten gesundheitlichen Probleme der Beschwerdeführerin lässt sich mit Bezug auf die Zulässigkeit des Wegwei- sungsvollzugs Folgendes festhalten:</w:t>
      </w:r>
    </w:p>
    <w:p>
      <w:r>
        <w:rPr>
          <w:b/>
        </w:rPr>
        <w:t>E. 8.2.4.2</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Grosse Kammer 41738/10, § 183, bestätigt durch das Urteil Savran gegen Dänemark vom 7. Dezember 2021, Grosse Kammer 57467/2015).</w:t>
      </w:r>
    </w:p>
    <w:p>
      <w:r>
        <w:t>E-5881/2024 Seite 9</w:t>
      </w:r>
    </w:p>
    <w:p>
      <w:r>
        <w:rPr>
          <w:b/>
        </w:rPr>
        <w:t>E. 8.2.4.3</w:t>
      </w:r>
    </w:p>
    <w:p>
      <w:r>
        <w:t>Den Akten zufolge befindet sich die Beschwerdeführerin aktuell in frauenärztlicher Behandlung. In ihrem Rechtsmittel führte sie aus, aufgrund des Verdachts auf Brustkrebs ständen mehrere Verlaufs- und Kontrollun- tersuchungen an. Ausserdem sei sie aufgrund ihrer Erlebnisse in der Ver- gangenheit schwer traumatisiert. Im Zeitpunkt der Beschwerdeerhebung noch ausstehend waren gemäss Akten ein psychiatrisches Erstgespräch am 8. Oktober 2024, eine Sprechstunde und Kontrolle zur ambulanten Dysplasie am 2. Oktober 2024, eine frauenärztliche Jahreskontrolle am 14. Oktober 2024 und eine ambulante Brust-Sprechstunde am 19. März 2025. Dringender medizinischer Handlungsbedarf ist den Akten weder hin- sichtlich der physischen noch der psychischen Gesundheit zu entnehmen.</w:t>
      </w:r>
    </w:p>
    <w:p>
      <w:r>
        <w:rPr>
          <w:b/>
        </w:rPr>
        <w:t>E. 8.2.4.4</w:t>
      </w:r>
    </w:p>
    <w:p>
      <w:r>
        <w:t>Bei der Beschwerdeführerin ist nach dem Gesagten offensichtlich nicht von einem derart gravierenden Krankheitsbild auszugehen, dass sich die Annahme der Unzulässigkeit des Vollzugs der Wegweisung im Sinn der zitierten Rechtsprechung rechtfertigen würde.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in ständiger Praxis davon aus, dass in der Côte d'Ivoire keine Situation allgemeiner Gewalt herrscht (vgl. dazu das Referenzurteil E-2349/2016 vom 16. Oktober 2017 E. 7.3; sowie Urteil E-2010/2024 vom 20. August 2024 E. 9.3.2 m.w.H.). Der Vollzug der Wegweisung in die Côte d'Ivoire ist daher grundsätzlich zumutbar.</w:t>
      </w:r>
    </w:p>
    <w:p>
      <w:r>
        <w:rPr>
          <w:b/>
        </w:rPr>
        <w:t>E. 8.3.2</w:t>
      </w:r>
    </w:p>
    <w:p>
      <w:r>
        <w:t>In individueller Hinsicht ist festzuhalten, dass die Beschwerdeführerin mehrere Jahre in Abidjan gelebt, dort eine Berufsausbildung absolviert und später einer selbständigen Erwerbstätigkeit im Handelsbereich nachge- gangen ist. In dieser Stadt ist es grundsätzlich namentlich auch für allein- stehende Frauen möglich, sich niederzulassen, ohne dass sie um ihre Si- cherheit fürchten müssen oder mit geschlechtsspezifischen rechtlichen Hindernissen konfrontiert wären (vgl. Referenzurteil BVGer E-2349/2016</w:t>
      </w:r>
    </w:p>
    <w:p>
      <w:r>
        <w:t>E-5881/2024 Seite 10 vom 16. Oktober 2017 E. 7.3.6). Aus den Akten entsteht insgesamt nicht der Eindruck, die Beschwerdeführerin sei aufgrund der genannten Vorfälle psychisch in einer Weise belastet gewesen, die sich auf ihre Existenz aus- gewirkt hätte. Die Beschwerdeführerin verfügt im Grossraum Abidjan aus- serdem über ein ausgedehntes Beziehungsnetz, zumal dort nebst ihrem Vater auch ihre beiden Schwestern und ihre beiden volljährigen Kinder le- ben. Auch in medizinischer Hinsicht steht dem Wegweisungsvollzug den Akten zufolge nichts entgegen (vgl. obenstehende E. 7.2.4.3). Insgesamt ist davon auszugehen, dass die Beschwerdeführerin sich bei ihrer Rück- kehr sowohl in wirtschaftlicher als auch in sozialer Hinsicht wird reintegrie- ren und eine Existenz aufbauen können.</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Da ihre Rechtsbegehren nicht als aussichtslos zu bezeichnen waren und sie aufgrund der Aktenlage als bedürftig zu qualifizieren ist, ist ihr antragsgemäss die unentgeltliche Prozessführung gemäss Art. 65 Abs. 1 VwVG zu gewähren. Es sind daher keine Verfahrenskosten zu erheben.</w:t>
      </w:r>
    </w:p>
    <w:p>
      <w:r>
        <w:rPr>
          <w:b/>
        </w:rPr>
        <w:t>E. 10.2</w:t>
      </w:r>
    </w:p>
    <w:p>
      <w:r>
        <w:t>Das Gesuch um Verzicht auf die Erhebung eines Kostenvorschusses wird mit dem vorliegenden Entscheid gegenstandslos.</w:t>
      </w:r>
    </w:p>
    <w:p>
      <w:r>
        <w:t>E-5881/2024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