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E-5871/2023 vom 9. Januar 2023</w:t>
      </w:r>
    </w:p>
    <w:p>
      <w:r>
        <w:t>Bundesverwaltungsgericht, 2023-01-09, DE</w:t>
      </w:r>
    </w:p>
    <w:p>
      <w:r>
        <w:rPr>
          <w:b/>
        </w:rPr>
        <w:t xml:space="preserve">Quelle: </w:t>
      </w:r>
      <w:r>
        <w:t>https://mcp.opencaselaw.ch/entscheid/bvger_E-5871_2023</w:t>
      </w:r>
    </w:p>
    <w:p>
      <w:r>
        <w:t>FR: TAF E-5871/2023 du 9 janvier 2023</w:t>
      </w:r>
    </w:p>
    <w:p>
      <w:r>
        <w:t>IT: TAF E-5871/2023 del 9 gennaio 2023</w:t>
      </w:r>
    </w:p>
    <w:p>
      <w:pPr>
        <w:pStyle w:val="Heading2"/>
      </w:pPr>
      <w:r>
        <w:t>Regeste</w:t>
      </w:r>
    </w:p>
    <w:p>
      <w:r>
        <w:t>Asyl und Wegweisung (beschleunigtes Verfahren)</w:t>
      </w:r>
    </w:p>
    <w:p>
      <w:pPr>
        <w:pStyle w:val="Heading2"/>
      </w:pPr>
      <w:r>
        <w:t>Erwägungen</w:t>
      </w:r>
    </w:p>
    <w:p>
      <w:r>
        <w:rPr>
          <w:b/>
        </w:rPr>
        <w:t>E. 15</w:t>
      </w:r>
    </w:p>
    <w:p>
      <w:r>
        <w:t>Dezember 2023] und Übergangsbestimmung der Aufhebungsverord- nung vom 22. November 2023 [AS 2023 694] e contrario, Art. 52 Abs. 1 VwVG), zumal auch der Kostenvorschuss fristgerecht geleistet worden ist, dass sich die Kognition des Bundesverwaltungsgerichts und die zulässigen Rügen im Asylbereich nach Art. 106 Abs. 1 AsylG richten, im Bereich des Ausländerrechts nach Art. 49 VwVG (vgl. BVGE 2014/26 E. 5),</w:t>
      </w:r>
    </w:p>
    <w:p>
      <w:r>
        <w:t>E-5871/2023 Seite 7 dass über offensichtlich unbegründete Beschwerden in einzelrichterlicher Zuständigkeit mit Zustimmung eines zweiten Richters beziehungsweise ei- 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 zichtet wurde, und für eine Verfahrenssistierung weiterhin keine Veranlas- sung besteht,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die Flüchtlingseigenschaft nachgewiesen oder zumindest glaubhaft gemacht werden muss und dies der Fall ist, wenn die Behörde ihr Vorhan- densein mit überwiegender Wahrscheinlichkeit für gegeben hält, die Vor- bringen hingegen insbesondere dann unglaubhaft sind, wenn sie in we- sentlichen Punkten zu wenig begründet oder in sich widersprüchlich sind, den Tatsachen nicht entsprechen oder massgeblich auf gefälschte oder verfälschte Beweismittel abgestützt werden (Art. 7 AsylG), dass das Gericht nach Durchsicht der Verfahrensakten keinen Grund für eine Rückweisung der Sache zur Neubeurteilung an die Vorinstanz sieht, weil der rechtserhebliche Sachverhalt vollständig und richtig festgestellt wurde, dass der diesbezügliche Eventualantrag somit abzuweisen ist, dass gemäss Praxis des Bundesverwaltungsgerichts trotz der aktuellen Lageentwicklung in der Türkei weder die vom Beschwerdeführer geltend gemachten Benachteiligungen, die er aufgrund der Zugehörigkeit zur kur- dischen Volksgruppe erfahren habe, noch die Behelligungen seitens der heimatlichen Behörden wegen seines Engagements für eine legale Partei (Türkiye Komünist Partisi, TKP) die erforderliche Intensität von asylrecht- lich relevanten Nachteilen erfüllen (vgl. statt vieler das Urteil des BVGer D-33/2022 vom 21. Februar 2023 E. 6.3 f.),</w:t>
      </w:r>
    </w:p>
    <w:p>
      <w:r>
        <w:t>E-5871/2023 Seite 8 dass der Beschwerdeführer seinen Aussagen zufolge letztmals vor mehr als eineinhalb Jahren an Kundgebungen teilgenommen hat, diese durch- wegs legal gewesen sind und es dabei kaum je zu Ausschreitungen ge- kommen ist (vgl. SEM-Akten, A28 ad F80 ff.), dass es sich bei den angeblich gegen den Beschwerdeführer eröffneten Strafverfahren in der Türkei weiterhin um nicht belegte, unplausibel wirkende Parteibehauptungen handelt, dass dem angeblichen Schreiben eines türkischen Staatsanwalts vom (…) Oktober 2023 (Beilage der Eingabe vom 16. November 2023) weder der Name des Beschwerdeführers noch anderweitigen Hinweise auf seine Person zu entnehmen sind, und das Schreiben damit letztlich irgendjeman- den betreffen kann, dass der Beschwerdeführer in keiner Weise zu erklären vermochte, wes- halb die Schreiben seiner angeblichen türkischen Rechtsanwältin G._______ vom "25/10/23" (Beschwerdebeilage 3), "14/11/23" (Beilage der Eingabe vom 16. November 2023) und "27.11.2023" (Beilage der Ein- gabe vom 8. November [recte: Dezember] 2023) drei unterschiedliche Un- terschriften aufweisen, und letztlich von irgendjemanden verfasst und un- terzeichnet worden sein können, dass sämtliche Beweismittel lediglich in Kopie (bzw. in Form qualitativ schlechter Scans) eingereicht wurden, womit eine Überprüfung der Au- thentizität nicht erfolgen kann, dass die eingereichten Dokumente daher insgesamt nicht zu überzeugen vermögen, dass sodann nicht nachvollziehbar ist, weshalb die türkischen Behörden mehr als vier Jahre nach der Ausreise des Bruders des Beschwerdeführers ein Interesse am Beschwerdeführer hätten entwickeln sollen, dass nämlich nicht davon auszugehen ist, der Beschwerdeführer werde von den heimatlichen Behörden wegen seiner politischen Haltung oder Ak- tivitäten als Staatsfeind betrachtet, zumal den Akten keine ernsthaften Hin- weise dafür zu entnehmen sind, dass seine Aktivitäten den türkischen Be- hörden bekannt geworden sind oder überhaupt ihr Interesse hätten wecken können, dass für diese Einschätzung insbesondere die kontrollierte legale Auseise der Beschwerdeführenden auf dem Luftweg spricht (vgl. SEM-Akten A28 ad F38 und F85),</w:t>
      </w:r>
    </w:p>
    <w:p>
      <w:r>
        <w:t>E-5871/2023 Seite 9 dass es den Beschwerdeführenden somit nicht gelingt, die Flüchtlingsei- genschaft nachzuweisen oder zumindest glaubhaft zu machen, weshalb das Staatssekretariat ihre Asylgesuche zu Recht abgelehnt hat,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2009/50 E. 9, je m.w.H.), weshalb die verfügte Wegweisung im Einklang mit den gesetzlichen Bestimmungen steht und demnach vom Staatssekretariat ebenfalls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 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 ment im vorliegenden Verfahren keine Anwendung findet,</w:t>
      </w:r>
    </w:p>
    <w:p>
      <w:r>
        <w:t>E-5871/2023 Seite 10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 dass weder die allgemeine Lage im Heimat- beziehungsweise Herkunfts- staat der Beschwerdeführenden noch individuelle (etwa medizinische) Gründe auf eine konkrete Gefährdung im Falle einer Rückkehr schliessen lassen, weshalb der Vollzug der Wegweisung vorliegend zumutbar ist, dass die Vorinstanz zu Recht darauf hinwies, die Beschwerdeführenden würden im Heimatstaat über solide Berufserfahrung, ein stabiles soziales Beziehungsnetz sowie über eine Eigentumswohnung verfügen, dass auch die verheerenden Auswirkungen des schweren Erdbebens von anfangs Februar 2023 zu keiner anderen Einschätzung zu führen vermö- gen, weil sie aus der davon nicht betroffenen Region F._______ stammen, dass der Vollzug der Wegweisung der Beschwerdeführenden in den Hei- matstaat schliesslich möglich ist, da keine Vollzugshindernisse bestehen (Art. 83 Abs. 2 AIG), und es ihnen obliegt, bei der Beschaffung gültiger Rei- sepapiere mitzuwirken (vgl. Art. 8 Abs. 4 AsylG und dazu auch BVGE 2008/34 E. 12), dass nach dem Gesagten der vom Staatssekretariat verfügte Vollzug der Wegweisung zu bestätigen ist,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von Fr. 750.– (Art. 1–3 des Reglements vom 21. Februar 2008 über die Kosten und Ent- schädigungen vor dem Bundesverwaltungsgericht [VGKE, SR 173.320.2]) den Beschwerdeführenden aufzuerlegen sind (Art. 63 Abs. 1 VwVG) und der in gleicher Höhe geleistete Kostenvorschuss zur Bezahlung dieser Kosten zu verwenden ist.</w:t>
      </w:r>
    </w:p>
    <w:p>
      <w:r>
        <w:t>E-5871/2023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